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15417" w14:textId="77777777" w:rsidR="00B27145" w:rsidRDefault="00B27145" w:rsidP="00015AD0">
      <w:pPr>
        <w:jc w:val="center"/>
        <w:rPr>
          <w:rFonts w:ascii="Times New Roman" w:hAnsi="Times New Roman" w:cs="Times New Roman"/>
          <w:sz w:val="24"/>
          <w:szCs w:val="24"/>
        </w:rPr>
      </w:pPr>
    </w:p>
    <w:p w14:paraId="6B13C208" w14:textId="77777777" w:rsidR="00B27145" w:rsidRDefault="00B27145" w:rsidP="00015AD0">
      <w:pPr>
        <w:jc w:val="center"/>
        <w:rPr>
          <w:rFonts w:ascii="Times New Roman" w:hAnsi="Times New Roman" w:cs="Times New Roman"/>
          <w:sz w:val="24"/>
          <w:szCs w:val="24"/>
        </w:rPr>
      </w:pPr>
    </w:p>
    <w:p w14:paraId="70079847" w14:textId="77777777" w:rsidR="00B27145" w:rsidRDefault="00B27145" w:rsidP="00015AD0">
      <w:pPr>
        <w:jc w:val="center"/>
        <w:rPr>
          <w:rFonts w:ascii="Times New Roman" w:hAnsi="Times New Roman" w:cs="Times New Roman"/>
          <w:sz w:val="24"/>
          <w:szCs w:val="24"/>
        </w:rPr>
      </w:pPr>
    </w:p>
    <w:p w14:paraId="6E69C0DE" w14:textId="77777777" w:rsidR="00632D7C" w:rsidRDefault="00632D7C" w:rsidP="00015AD0">
      <w:pPr>
        <w:jc w:val="center"/>
        <w:rPr>
          <w:rFonts w:ascii="Times New Roman" w:hAnsi="Times New Roman" w:cs="Times New Roman"/>
          <w:sz w:val="24"/>
          <w:szCs w:val="24"/>
        </w:rPr>
      </w:pPr>
    </w:p>
    <w:p w14:paraId="6A190632" w14:textId="77777777" w:rsidR="00C36040" w:rsidRPr="00B27145" w:rsidRDefault="00870954" w:rsidP="00E561C9">
      <w:pPr>
        <w:jc w:val="center"/>
        <w:rPr>
          <w:rFonts w:ascii="Times New Roman" w:hAnsi="Times New Roman" w:cs="Times New Roman"/>
          <w:sz w:val="24"/>
          <w:szCs w:val="24"/>
        </w:rPr>
      </w:pPr>
      <w:r w:rsidRPr="00B27145">
        <w:rPr>
          <w:rFonts w:ascii="Times New Roman" w:hAnsi="Times New Roman" w:cs="Times New Roman"/>
          <w:sz w:val="24"/>
          <w:szCs w:val="24"/>
        </w:rPr>
        <w:t>Case Briefs</w:t>
      </w:r>
    </w:p>
    <w:p w14:paraId="5D0FAE9D" w14:textId="77777777" w:rsidR="00B27145" w:rsidRPr="00B27145" w:rsidRDefault="00870954" w:rsidP="00E561C9">
      <w:pPr>
        <w:jc w:val="center"/>
        <w:rPr>
          <w:rFonts w:ascii="Times New Roman" w:hAnsi="Times New Roman" w:cs="Times New Roman"/>
          <w:sz w:val="24"/>
          <w:szCs w:val="24"/>
        </w:rPr>
      </w:pPr>
      <w:r w:rsidRPr="00B27145">
        <w:rPr>
          <w:rFonts w:ascii="Times New Roman" w:hAnsi="Times New Roman" w:cs="Times New Roman"/>
          <w:sz w:val="24"/>
          <w:szCs w:val="24"/>
        </w:rPr>
        <w:t>Student’s Name</w:t>
      </w:r>
    </w:p>
    <w:p w14:paraId="3DAA9FF1" w14:textId="77777777" w:rsidR="00B27145" w:rsidRDefault="00870954" w:rsidP="00E561C9">
      <w:pPr>
        <w:jc w:val="center"/>
        <w:rPr>
          <w:rFonts w:ascii="Times New Roman" w:hAnsi="Times New Roman" w:cs="Times New Roman"/>
          <w:sz w:val="24"/>
          <w:szCs w:val="24"/>
        </w:rPr>
      </w:pPr>
      <w:r w:rsidRPr="00B27145">
        <w:rPr>
          <w:rFonts w:ascii="Times New Roman" w:hAnsi="Times New Roman" w:cs="Times New Roman"/>
          <w:sz w:val="24"/>
          <w:szCs w:val="24"/>
        </w:rPr>
        <w:t xml:space="preserve">Institutional </w:t>
      </w:r>
      <w:r>
        <w:rPr>
          <w:rFonts w:ascii="Times New Roman" w:hAnsi="Times New Roman" w:cs="Times New Roman"/>
          <w:sz w:val="24"/>
          <w:szCs w:val="24"/>
        </w:rPr>
        <w:t>Affiliations</w:t>
      </w:r>
    </w:p>
    <w:p w14:paraId="55C6B166" w14:textId="77777777" w:rsidR="00B27145" w:rsidRDefault="00870954" w:rsidP="00015AD0">
      <w:pPr>
        <w:rPr>
          <w:rFonts w:ascii="Times New Roman" w:hAnsi="Times New Roman" w:cs="Times New Roman"/>
          <w:sz w:val="24"/>
          <w:szCs w:val="24"/>
        </w:rPr>
      </w:pPr>
      <w:r>
        <w:rPr>
          <w:rFonts w:ascii="Times New Roman" w:hAnsi="Times New Roman" w:cs="Times New Roman"/>
          <w:sz w:val="24"/>
          <w:szCs w:val="24"/>
        </w:rPr>
        <w:br w:type="page"/>
      </w:r>
    </w:p>
    <w:p w14:paraId="42906F85" w14:textId="77777777" w:rsidR="00B27145" w:rsidRDefault="00870954" w:rsidP="00015AD0">
      <w:pPr>
        <w:jc w:val="center"/>
        <w:rPr>
          <w:rFonts w:ascii="Times New Roman" w:hAnsi="Times New Roman" w:cs="Times New Roman"/>
          <w:sz w:val="24"/>
          <w:szCs w:val="24"/>
        </w:rPr>
      </w:pPr>
      <w:r>
        <w:rPr>
          <w:rFonts w:ascii="Times New Roman" w:hAnsi="Times New Roman" w:cs="Times New Roman"/>
          <w:sz w:val="24"/>
          <w:szCs w:val="24"/>
        </w:rPr>
        <w:lastRenderedPageBreak/>
        <w:t>Case briefs</w:t>
      </w:r>
    </w:p>
    <w:p w14:paraId="3A131683" w14:textId="77777777" w:rsidR="00B27145" w:rsidRPr="00B27145" w:rsidRDefault="00870954" w:rsidP="00015AD0">
      <w:pPr>
        <w:ind w:firstLine="0"/>
        <w:jc w:val="center"/>
        <w:rPr>
          <w:rFonts w:ascii="Times New Roman" w:hAnsi="Times New Roman" w:cs="Times New Roman"/>
          <w:b/>
          <w:sz w:val="24"/>
          <w:szCs w:val="24"/>
        </w:rPr>
      </w:pPr>
      <w:r w:rsidRPr="00B27145">
        <w:rPr>
          <w:rFonts w:ascii="Times New Roman" w:hAnsi="Times New Roman" w:cs="Times New Roman"/>
          <w:b/>
          <w:sz w:val="24"/>
          <w:szCs w:val="24"/>
        </w:rPr>
        <w:t>Shell v. R.W. Sturge, Ltd</w:t>
      </w:r>
    </w:p>
    <w:p w14:paraId="0953673A" w14:textId="77777777" w:rsidR="00B27145" w:rsidRPr="00B27145" w:rsidRDefault="00870954" w:rsidP="00262123">
      <w:pPr>
        <w:rPr>
          <w:rFonts w:ascii="Times New Roman" w:hAnsi="Times New Roman" w:cs="Times New Roman"/>
          <w:b/>
          <w:sz w:val="24"/>
          <w:szCs w:val="24"/>
        </w:rPr>
      </w:pPr>
      <w:r w:rsidRPr="00B27145">
        <w:rPr>
          <w:rFonts w:ascii="Times New Roman" w:hAnsi="Times New Roman" w:cs="Times New Roman"/>
          <w:b/>
          <w:sz w:val="24"/>
          <w:szCs w:val="24"/>
        </w:rPr>
        <w:t>Facts of the case</w:t>
      </w:r>
    </w:p>
    <w:p w14:paraId="5FABC20F" w14:textId="5B474C44" w:rsidR="00B27145" w:rsidRPr="00B27145" w:rsidRDefault="00870954" w:rsidP="00262123">
      <w:pPr>
        <w:ind w:left="0" w:firstLine="0"/>
        <w:rPr>
          <w:rFonts w:ascii="Times New Roman" w:hAnsi="Times New Roman" w:cs="Times New Roman"/>
          <w:sz w:val="24"/>
          <w:szCs w:val="24"/>
        </w:rPr>
      </w:pPr>
      <w:r>
        <w:rPr>
          <w:rFonts w:ascii="Times New Roman" w:hAnsi="Times New Roman" w:cs="Times New Roman"/>
          <w:sz w:val="24"/>
          <w:szCs w:val="24"/>
        </w:rPr>
        <w:tab/>
        <w:t xml:space="preserve">The facts of </w:t>
      </w:r>
      <w:r w:rsidRPr="00B27145">
        <w:rPr>
          <w:rFonts w:ascii="Times New Roman" w:hAnsi="Times New Roman" w:cs="Times New Roman"/>
          <w:sz w:val="24"/>
          <w:szCs w:val="24"/>
        </w:rPr>
        <w:t>Shell</w:t>
      </w:r>
      <w:r w:rsidR="001A02C6" w:rsidRPr="00B27145">
        <w:rPr>
          <w:rFonts w:ascii="Times New Roman" w:hAnsi="Times New Roman" w:cs="Times New Roman"/>
          <w:i/>
          <w:sz w:val="24"/>
          <w:szCs w:val="24"/>
        </w:rPr>
        <w:t xml:space="preserve"> v. R.W. Sturge, Ltd </w:t>
      </w:r>
      <w:r w:rsidR="001A02C6" w:rsidRPr="00B27145">
        <w:rPr>
          <w:rFonts w:ascii="Times New Roman" w:hAnsi="Times New Roman" w:cs="Times New Roman"/>
          <w:sz w:val="24"/>
          <w:szCs w:val="24"/>
        </w:rPr>
        <w:t>were that W. Shell and Hauck were the plaintiffs representing a group of investors who had invested their funds in Lloyds, an insurance marketplace. The group of investors represented by Shell and Hauck had the intention of setting aside their Lloyds investment contract which stipulated that disputes between Lloyd</w:t>
      </w:r>
      <w:r>
        <w:rPr>
          <w:rFonts w:ascii="Times New Roman" w:hAnsi="Times New Roman" w:cs="Times New Roman"/>
          <w:sz w:val="24"/>
          <w:szCs w:val="24"/>
        </w:rPr>
        <w:t xml:space="preserve">'s and the investors </w:t>
      </w:r>
      <w:r w:rsidR="001A02C6" w:rsidRPr="00B27145">
        <w:rPr>
          <w:rFonts w:ascii="Times New Roman" w:hAnsi="Times New Roman" w:cs="Times New Roman"/>
          <w:sz w:val="24"/>
          <w:szCs w:val="24"/>
        </w:rPr>
        <w:t xml:space="preserve">could only be </w:t>
      </w:r>
      <w:r w:rsidR="000C4BC2" w:rsidRPr="00B27145">
        <w:rPr>
          <w:rFonts w:ascii="Times New Roman" w:hAnsi="Times New Roman" w:cs="Times New Roman"/>
          <w:sz w:val="24"/>
          <w:szCs w:val="24"/>
        </w:rPr>
        <w:t xml:space="preserve">heard </w:t>
      </w:r>
      <w:r w:rsidR="000C4BC2">
        <w:rPr>
          <w:rFonts w:ascii="Times New Roman" w:hAnsi="Times New Roman" w:cs="Times New Roman"/>
          <w:sz w:val="24"/>
          <w:szCs w:val="24"/>
        </w:rPr>
        <w:t>and</w:t>
      </w:r>
      <w:r>
        <w:rPr>
          <w:rFonts w:ascii="Times New Roman" w:hAnsi="Times New Roman" w:cs="Times New Roman"/>
          <w:sz w:val="24"/>
          <w:szCs w:val="24"/>
        </w:rPr>
        <w:t xml:space="preserve"> be solved </w:t>
      </w:r>
      <w:r w:rsidR="001A02C6" w:rsidRPr="00B27145">
        <w:rPr>
          <w:rFonts w:ascii="Times New Roman" w:hAnsi="Times New Roman" w:cs="Times New Roman"/>
          <w:sz w:val="24"/>
          <w:szCs w:val="24"/>
        </w:rPr>
        <w:t>exclusively by English courts. The plaintiffs made a point that Lloyd's acted in violation of the Ohio Securities Law by undertaking the sale of non-exempt securities. The plaintiffs that the sale of this security had the potential of harming the investor and that it contravened laws governing public investment. The defendants, Sturge, Ltd file a motion that sought to</w:t>
      </w:r>
      <w:r w:rsidR="000C4BC2">
        <w:rPr>
          <w:rFonts w:ascii="Times New Roman" w:hAnsi="Times New Roman" w:cs="Times New Roman"/>
          <w:sz w:val="24"/>
          <w:szCs w:val="24"/>
        </w:rPr>
        <w:t xml:space="preserve"> dismiss the case on the basis of improper venue as it is dictated by</w:t>
      </w:r>
      <w:r w:rsidR="001A02C6" w:rsidRPr="00B27145">
        <w:rPr>
          <w:rFonts w:ascii="Times New Roman" w:hAnsi="Times New Roman" w:cs="Times New Roman"/>
          <w:sz w:val="24"/>
          <w:szCs w:val="24"/>
        </w:rPr>
        <w:t xml:space="preserve"> the Federal Rules of Civil Procedure</w:t>
      </w:r>
      <w:r w:rsidR="00E561C9">
        <w:rPr>
          <w:rFonts w:ascii="Times New Roman" w:hAnsi="Times New Roman" w:cs="Times New Roman"/>
          <w:sz w:val="24"/>
          <w:szCs w:val="24"/>
        </w:rPr>
        <w:t xml:space="preserve"> </w:t>
      </w:r>
      <w:r w:rsidR="00E561C9" w:rsidRPr="00B27145">
        <w:rPr>
          <w:rFonts w:ascii="Times New Roman" w:hAnsi="Times New Roman" w:cs="Times New Roman"/>
          <w:sz w:val="24"/>
          <w:szCs w:val="24"/>
        </w:rPr>
        <w:t>rule 12 (b) (3)</w:t>
      </w:r>
      <w:r w:rsidR="001A02C6" w:rsidRPr="00B27145">
        <w:rPr>
          <w:rFonts w:ascii="Times New Roman" w:hAnsi="Times New Roman" w:cs="Times New Roman"/>
          <w:sz w:val="24"/>
          <w:szCs w:val="24"/>
        </w:rPr>
        <w:t xml:space="preserve">. </w:t>
      </w:r>
      <w:r w:rsidR="00E561C9">
        <w:rPr>
          <w:rFonts w:ascii="Times New Roman" w:hAnsi="Times New Roman" w:cs="Times New Roman"/>
          <w:sz w:val="24"/>
          <w:szCs w:val="24"/>
        </w:rPr>
        <w:t>The trial court dismissed the case on</w:t>
      </w:r>
      <w:r w:rsidR="001A02C6" w:rsidRPr="00B27145">
        <w:rPr>
          <w:rFonts w:ascii="Times New Roman" w:hAnsi="Times New Roman" w:cs="Times New Roman"/>
          <w:sz w:val="24"/>
          <w:szCs w:val="24"/>
        </w:rPr>
        <w:t xml:space="preserve"> basis of fo</w:t>
      </w:r>
      <w:r w:rsidR="00E561C9">
        <w:rPr>
          <w:rFonts w:ascii="Times New Roman" w:hAnsi="Times New Roman" w:cs="Times New Roman"/>
          <w:sz w:val="24"/>
          <w:szCs w:val="24"/>
        </w:rPr>
        <w:t>rum selection clauses leading</w:t>
      </w:r>
      <w:r w:rsidR="001A02C6" w:rsidRPr="00B27145">
        <w:rPr>
          <w:rFonts w:ascii="Times New Roman" w:hAnsi="Times New Roman" w:cs="Times New Roman"/>
          <w:sz w:val="24"/>
          <w:szCs w:val="24"/>
        </w:rPr>
        <w:t xml:space="preserve"> investors to lodge an appeal for the case.</w:t>
      </w:r>
    </w:p>
    <w:p w14:paraId="5B4096CF" w14:textId="77777777" w:rsidR="00B27145" w:rsidRPr="00B27145" w:rsidRDefault="00870954" w:rsidP="00262123">
      <w:pPr>
        <w:rPr>
          <w:rFonts w:ascii="Times New Roman" w:hAnsi="Times New Roman" w:cs="Times New Roman"/>
          <w:b/>
          <w:sz w:val="24"/>
          <w:szCs w:val="24"/>
        </w:rPr>
      </w:pPr>
      <w:r w:rsidRPr="00B27145">
        <w:rPr>
          <w:rFonts w:ascii="Times New Roman" w:hAnsi="Times New Roman" w:cs="Times New Roman"/>
          <w:b/>
          <w:sz w:val="24"/>
          <w:szCs w:val="24"/>
        </w:rPr>
        <w:t>Issues</w:t>
      </w:r>
    </w:p>
    <w:p w14:paraId="57E6697A" w14:textId="65A77E23" w:rsidR="00B27145" w:rsidRPr="00B27145" w:rsidRDefault="00870954" w:rsidP="00262123">
      <w:pPr>
        <w:ind w:left="0" w:firstLine="0"/>
        <w:rPr>
          <w:rFonts w:ascii="Times New Roman" w:hAnsi="Times New Roman" w:cs="Times New Roman"/>
          <w:sz w:val="24"/>
          <w:szCs w:val="24"/>
        </w:rPr>
      </w:pPr>
      <w:r>
        <w:rPr>
          <w:rFonts w:ascii="Times New Roman" w:hAnsi="Times New Roman" w:cs="Times New Roman"/>
          <w:sz w:val="24"/>
          <w:szCs w:val="24"/>
        </w:rPr>
        <w:tab/>
        <w:t>The first issue</w:t>
      </w:r>
      <w:r w:rsidR="001A02C6" w:rsidRPr="00B27145">
        <w:rPr>
          <w:rFonts w:ascii="Times New Roman" w:hAnsi="Times New Roman" w:cs="Times New Roman"/>
          <w:sz w:val="24"/>
          <w:szCs w:val="24"/>
        </w:rPr>
        <w:t xml:space="preserve"> arising from the case</w:t>
      </w:r>
      <w:r w:rsidR="001A02C6" w:rsidRPr="00B27145">
        <w:t xml:space="preserve"> </w:t>
      </w:r>
      <w:r w:rsidR="001A02C6" w:rsidRPr="00B27145">
        <w:rPr>
          <w:rFonts w:ascii="Times New Roman" w:hAnsi="Times New Roman" w:cs="Times New Roman"/>
          <w:i/>
          <w:sz w:val="24"/>
          <w:szCs w:val="24"/>
        </w:rPr>
        <w:t xml:space="preserve">Shell v. R.W. Sturge, Ltd </w:t>
      </w:r>
      <w:r>
        <w:rPr>
          <w:rFonts w:ascii="Times New Roman" w:hAnsi="Times New Roman" w:cs="Times New Roman"/>
          <w:sz w:val="24"/>
          <w:szCs w:val="24"/>
        </w:rPr>
        <w:t>was</w:t>
      </w:r>
      <w:r w:rsidR="001A02C6" w:rsidRPr="00B27145">
        <w:rPr>
          <w:rFonts w:ascii="Times New Roman" w:hAnsi="Times New Roman" w:cs="Times New Roman"/>
          <w:sz w:val="24"/>
          <w:szCs w:val="24"/>
        </w:rPr>
        <w:t xml:space="preserve"> whether the plaintiffs, Shell and Hauck had filed their motion under an improper venue. The second issue arising from the case was whether the courts should set aside Sturge’s l</w:t>
      </w:r>
      <w:r w:rsidR="000C4BC2">
        <w:rPr>
          <w:rFonts w:ascii="Times New Roman" w:hAnsi="Times New Roman" w:cs="Times New Roman"/>
          <w:sz w:val="24"/>
          <w:szCs w:val="24"/>
        </w:rPr>
        <w:t>aw choice and of dispute resolution</w:t>
      </w:r>
      <w:r w:rsidR="001A02C6" w:rsidRPr="00B27145">
        <w:rPr>
          <w:rFonts w:ascii="Times New Roman" w:hAnsi="Times New Roman" w:cs="Times New Roman"/>
          <w:sz w:val="24"/>
          <w:szCs w:val="24"/>
        </w:rPr>
        <w:t xml:space="preserve"> clauses.</w:t>
      </w:r>
    </w:p>
    <w:p w14:paraId="3D6944D6" w14:textId="77777777" w:rsidR="00A53CF7" w:rsidRDefault="00A53CF7" w:rsidP="00015AD0">
      <w:pPr>
        <w:ind w:firstLine="0"/>
        <w:rPr>
          <w:rFonts w:ascii="Times New Roman" w:hAnsi="Times New Roman" w:cs="Times New Roman"/>
          <w:b/>
          <w:sz w:val="24"/>
          <w:szCs w:val="24"/>
        </w:rPr>
      </w:pPr>
    </w:p>
    <w:p w14:paraId="0A82A594" w14:textId="77777777" w:rsidR="00A53CF7" w:rsidRDefault="00A53CF7" w:rsidP="00015AD0">
      <w:pPr>
        <w:ind w:firstLine="0"/>
        <w:rPr>
          <w:rFonts w:ascii="Times New Roman" w:hAnsi="Times New Roman" w:cs="Times New Roman"/>
          <w:b/>
          <w:sz w:val="24"/>
          <w:szCs w:val="24"/>
        </w:rPr>
      </w:pPr>
    </w:p>
    <w:p w14:paraId="5116DE74" w14:textId="77777777" w:rsidR="00A53CF7" w:rsidRDefault="00870954" w:rsidP="00262123">
      <w:pPr>
        <w:rPr>
          <w:rFonts w:ascii="Times New Roman" w:hAnsi="Times New Roman" w:cs="Times New Roman"/>
          <w:b/>
          <w:sz w:val="24"/>
          <w:szCs w:val="24"/>
        </w:rPr>
      </w:pPr>
      <w:r w:rsidRPr="00B27145">
        <w:rPr>
          <w:rFonts w:ascii="Times New Roman" w:hAnsi="Times New Roman" w:cs="Times New Roman"/>
          <w:b/>
          <w:sz w:val="24"/>
          <w:szCs w:val="24"/>
        </w:rPr>
        <w:lastRenderedPageBreak/>
        <w:t>Rule</w:t>
      </w:r>
    </w:p>
    <w:p w14:paraId="7560F11D" w14:textId="393126CB" w:rsidR="00B27145" w:rsidRPr="00B27145" w:rsidRDefault="00870954" w:rsidP="00262123">
      <w:pPr>
        <w:ind w:left="0" w:firstLine="0"/>
        <w:rPr>
          <w:rFonts w:ascii="Times New Roman" w:hAnsi="Times New Roman" w:cs="Times New Roman"/>
          <w:b/>
          <w:sz w:val="24"/>
          <w:szCs w:val="24"/>
        </w:rPr>
      </w:pPr>
      <w:r w:rsidRPr="00B27145">
        <w:rPr>
          <w:rFonts w:ascii="Times New Roman" w:hAnsi="Times New Roman" w:cs="Times New Roman"/>
          <w:b/>
          <w:sz w:val="24"/>
          <w:szCs w:val="24"/>
        </w:rPr>
        <w:tab/>
      </w:r>
      <w:r w:rsidRPr="00B27145">
        <w:rPr>
          <w:rFonts w:ascii="Times New Roman" w:hAnsi="Times New Roman" w:cs="Times New Roman"/>
          <w:sz w:val="24"/>
          <w:szCs w:val="24"/>
        </w:rPr>
        <w:t>The ruling dictated that forum selection clauses that exist in international agreement</w:t>
      </w:r>
      <w:r w:rsidRPr="00B27145">
        <w:rPr>
          <w:rFonts w:ascii="Times New Roman" w:hAnsi="Times New Roman" w:cs="Times New Roman"/>
          <w:sz w:val="24"/>
          <w:szCs w:val="24"/>
        </w:rPr>
        <w:t xml:space="preserve">s had to be enforced unless the plaintiff was able to prove that (a) enforcing the selection clauses would not be reasonable and just or (b) the clause being enforced lacked validity. This rule was based </w:t>
      </w:r>
      <w:r w:rsidR="000C4BC2">
        <w:rPr>
          <w:rFonts w:ascii="Times New Roman" w:hAnsi="Times New Roman" w:cs="Times New Roman"/>
          <w:sz w:val="24"/>
          <w:szCs w:val="24"/>
        </w:rPr>
        <w:t xml:space="preserve">on the English Law which dictates that any Agreement must always </w:t>
      </w:r>
      <w:r w:rsidRPr="00B27145">
        <w:rPr>
          <w:rFonts w:ascii="Times New Roman" w:hAnsi="Times New Roman" w:cs="Times New Roman"/>
          <w:sz w:val="24"/>
          <w:szCs w:val="24"/>
        </w:rPr>
        <w:t>be re</w:t>
      </w:r>
      <w:r w:rsidR="000C4BC2">
        <w:rPr>
          <w:rFonts w:ascii="Times New Roman" w:hAnsi="Times New Roman" w:cs="Times New Roman"/>
          <w:sz w:val="24"/>
          <w:szCs w:val="24"/>
        </w:rPr>
        <w:t xml:space="preserve">ad and construed and be implemented </w:t>
      </w:r>
      <w:r w:rsidRPr="00B27145">
        <w:rPr>
          <w:rFonts w:ascii="Times New Roman" w:hAnsi="Times New Roman" w:cs="Times New Roman"/>
          <w:sz w:val="24"/>
          <w:szCs w:val="24"/>
        </w:rPr>
        <w:t xml:space="preserve">in </w:t>
      </w:r>
      <w:r w:rsidR="000C4BC2">
        <w:rPr>
          <w:rFonts w:ascii="Times New Roman" w:hAnsi="Times New Roman" w:cs="Times New Roman"/>
          <w:sz w:val="24"/>
          <w:szCs w:val="24"/>
        </w:rPr>
        <w:t xml:space="preserve">as per </w:t>
      </w:r>
      <w:r w:rsidRPr="00B27145">
        <w:rPr>
          <w:rFonts w:ascii="Times New Roman" w:hAnsi="Times New Roman" w:cs="Times New Roman"/>
          <w:sz w:val="24"/>
          <w:szCs w:val="24"/>
        </w:rPr>
        <w:t>English Law”.</w:t>
      </w:r>
    </w:p>
    <w:p w14:paraId="230ED1BC" w14:textId="77777777" w:rsidR="00B27145" w:rsidRPr="00B27145" w:rsidRDefault="00870954" w:rsidP="00262123">
      <w:pPr>
        <w:rPr>
          <w:rFonts w:ascii="Times New Roman" w:hAnsi="Times New Roman" w:cs="Times New Roman"/>
          <w:b/>
          <w:sz w:val="24"/>
          <w:szCs w:val="24"/>
        </w:rPr>
      </w:pPr>
      <w:r w:rsidRPr="00B27145">
        <w:rPr>
          <w:rFonts w:ascii="Times New Roman" w:hAnsi="Times New Roman" w:cs="Times New Roman"/>
          <w:b/>
          <w:sz w:val="24"/>
          <w:szCs w:val="24"/>
        </w:rPr>
        <w:t>Analysis</w:t>
      </w:r>
    </w:p>
    <w:p w14:paraId="0A90D7DE" w14:textId="77777777" w:rsidR="00B27145" w:rsidRPr="00B27145" w:rsidRDefault="00870954" w:rsidP="00262123">
      <w:pPr>
        <w:ind w:left="0" w:firstLine="0"/>
        <w:rPr>
          <w:rFonts w:ascii="Times New Roman" w:hAnsi="Times New Roman" w:cs="Times New Roman"/>
          <w:sz w:val="24"/>
          <w:szCs w:val="24"/>
        </w:rPr>
      </w:pPr>
      <w:r w:rsidRPr="00B27145">
        <w:rPr>
          <w:rFonts w:ascii="Times New Roman" w:hAnsi="Times New Roman" w:cs="Times New Roman"/>
          <w:b/>
          <w:sz w:val="24"/>
          <w:szCs w:val="24"/>
        </w:rPr>
        <w:tab/>
      </w:r>
      <w:r w:rsidRPr="00B27145">
        <w:rPr>
          <w:rFonts w:ascii="Times New Roman" w:hAnsi="Times New Roman" w:cs="Times New Roman"/>
          <w:sz w:val="24"/>
          <w:szCs w:val="24"/>
        </w:rPr>
        <w:t xml:space="preserve">The ruling of the appeal upheld that the forum clauses were valid due to the fact that they served to preserve order and predictability in the relationship between the </w:t>
      </w:r>
      <w:r w:rsidRPr="00B27145">
        <w:rPr>
          <w:rFonts w:ascii="Times New Roman" w:hAnsi="Times New Roman" w:cs="Times New Roman"/>
          <w:sz w:val="24"/>
          <w:szCs w:val="24"/>
        </w:rPr>
        <w:t>investors and Lloyd's. Additionally, the plaintiff failed to prove that English courts would render a biased or unjust ruling. Additionally, the ruling was relevant in that it seeks to promote integrity in international trade through the enforcement of dis</w:t>
      </w:r>
      <w:r w:rsidRPr="00B27145">
        <w:rPr>
          <w:rFonts w:ascii="Times New Roman" w:hAnsi="Times New Roman" w:cs="Times New Roman"/>
          <w:sz w:val="24"/>
          <w:szCs w:val="24"/>
        </w:rPr>
        <w:t>pute resolution clauses.</w:t>
      </w:r>
    </w:p>
    <w:p w14:paraId="63AE88E7" w14:textId="77777777" w:rsidR="00B27145" w:rsidRPr="00B27145" w:rsidRDefault="00870954" w:rsidP="00262123">
      <w:pPr>
        <w:rPr>
          <w:rFonts w:ascii="Times New Roman" w:hAnsi="Times New Roman" w:cs="Times New Roman"/>
          <w:b/>
          <w:sz w:val="24"/>
          <w:szCs w:val="24"/>
        </w:rPr>
      </w:pPr>
      <w:r w:rsidRPr="00B27145">
        <w:rPr>
          <w:rFonts w:ascii="Times New Roman" w:hAnsi="Times New Roman" w:cs="Times New Roman"/>
          <w:b/>
          <w:sz w:val="24"/>
          <w:szCs w:val="24"/>
        </w:rPr>
        <w:t>Conclusion</w:t>
      </w:r>
    </w:p>
    <w:p w14:paraId="39C6E839" w14:textId="7F41EC4F" w:rsidR="00A53CF7" w:rsidRDefault="00870954" w:rsidP="00262123">
      <w:pPr>
        <w:ind w:left="0" w:firstLine="0"/>
        <w:rPr>
          <w:rFonts w:ascii="Times New Roman" w:hAnsi="Times New Roman" w:cs="Times New Roman"/>
          <w:sz w:val="24"/>
          <w:szCs w:val="24"/>
        </w:rPr>
      </w:pPr>
      <w:r w:rsidRPr="00B27145">
        <w:rPr>
          <w:rFonts w:ascii="Times New Roman" w:hAnsi="Times New Roman" w:cs="Times New Roman"/>
          <w:sz w:val="24"/>
          <w:szCs w:val="24"/>
        </w:rPr>
        <w:tab/>
        <w:t>Based on the analysis of the facts of the case and how they relate to the rule, it is safe to conclude that</w:t>
      </w:r>
      <w:r w:rsidR="00E561C9">
        <w:rPr>
          <w:rFonts w:ascii="Times New Roman" w:hAnsi="Times New Roman" w:cs="Times New Roman"/>
          <w:sz w:val="24"/>
          <w:szCs w:val="24"/>
        </w:rPr>
        <w:t xml:space="preserve"> the rule is relevant to the </w:t>
      </w:r>
      <w:r w:rsidRPr="00B27145">
        <w:rPr>
          <w:rFonts w:ascii="Times New Roman" w:hAnsi="Times New Roman" w:cs="Times New Roman"/>
          <w:sz w:val="24"/>
          <w:szCs w:val="24"/>
        </w:rPr>
        <w:t>case</w:t>
      </w:r>
      <w:r w:rsidR="00E561C9">
        <w:rPr>
          <w:rFonts w:ascii="Times New Roman" w:hAnsi="Times New Roman" w:cs="Times New Roman"/>
          <w:sz w:val="24"/>
          <w:szCs w:val="24"/>
        </w:rPr>
        <w:t xml:space="preserve"> facts</w:t>
      </w:r>
      <w:r w:rsidRPr="00B27145">
        <w:rPr>
          <w:rFonts w:ascii="Times New Roman" w:hAnsi="Times New Roman" w:cs="Times New Roman"/>
          <w:sz w:val="24"/>
          <w:szCs w:val="24"/>
        </w:rPr>
        <w:t>.</w:t>
      </w:r>
    </w:p>
    <w:p w14:paraId="1EC7B889" w14:textId="77777777" w:rsidR="00A53CF7" w:rsidRDefault="00870954" w:rsidP="00015AD0">
      <w:pPr>
        <w:rPr>
          <w:rFonts w:ascii="Times New Roman" w:hAnsi="Times New Roman" w:cs="Times New Roman"/>
          <w:sz w:val="24"/>
          <w:szCs w:val="24"/>
        </w:rPr>
      </w:pPr>
      <w:r>
        <w:rPr>
          <w:rFonts w:ascii="Times New Roman" w:hAnsi="Times New Roman" w:cs="Times New Roman"/>
          <w:sz w:val="24"/>
          <w:szCs w:val="24"/>
        </w:rPr>
        <w:br w:type="page"/>
      </w:r>
    </w:p>
    <w:p w14:paraId="6EFF33D6" w14:textId="77777777" w:rsidR="00A53CF7" w:rsidRPr="00A53CF7" w:rsidRDefault="00870954" w:rsidP="00015AD0">
      <w:pPr>
        <w:ind w:firstLine="0"/>
        <w:jc w:val="center"/>
        <w:rPr>
          <w:rFonts w:ascii="Times New Roman" w:hAnsi="Times New Roman" w:cs="Times New Roman"/>
          <w:b/>
          <w:sz w:val="24"/>
          <w:szCs w:val="24"/>
        </w:rPr>
      </w:pPr>
      <w:r w:rsidRPr="00A53CF7">
        <w:rPr>
          <w:rFonts w:ascii="Times New Roman" w:hAnsi="Times New Roman" w:cs="Times New Roman"/>
          <w:b/>
          <w:sz w:val="24"/>
          <w:szCs w:val="24"/>
        </w:rPr>
        <w:lastRenderedPageBreak/>
        <w:t xml:space="preserve">Saint Vincent and the Grenadines v. Guinea International </w:t>
      </w:r>
      <w:r w:rsidRPr="00A53CF7">
        <w:rPr>
          <w:rFonts w:ascii="Times New Roman" w:hAnsi="Times New Roman" w:cs="Times New Roman"/>
          <w:b/>
          <w:sz w:val="24"/>
          <w:szCs w:val="24"/>
        </w:rPr>
        <w:t>Tribunal for the Law of the Sea</w:t>
      </w:r>
    </w:p>
    <w:p w14:paraId="4F74914D" w14:textId="77777777" w:rsidR="00A53CF7" w:rsidRPr="00A53CF7" w:rsidRDefault="00870954" w:rsidP="00015AD0">
      <w:pPr>
        <w:ind w:firstLine="0"/>
        <w:jc w:val="center"/>
        <w:rPr>
          <w:rFonts w:ascii="Times New Roman" w:hAnsi="Times New Roman" w:cs="Times New Roman"/>
          <w:b/>
          <w:sz w:val="24"/>
          <w:szCs w:val="24"/>
        </w:rPr>
      </w:pPr>
      <w:r w:rsidRPr="00A53CF7">
        <w:rPr>
          <w:rFonts w:ascii="Times New Roman" w:hAnsi="Times New Roman" w:cs="Times New Roman"/>
          <w:b/>
          <w:sz w:val="24"/>
          <w:szCs w:val="24"/>
        </w:rPr>
        <w:t>Facts of the case</w:t>
      </w:r>
    </w:p>
    <w:p w14:paraId="45F71ADA" w14:textId="0B4DF40B" w:rsidR="00A53CF7" w:rsidRPr="00A53CF7" w:rsidRDefault="00870954" w:rsidP="00262123">
      <w:pPr>
        <w:ind w:left="0" w:firstLine="0"/>
        <w:rPr>
          <w:rFonts w:ascii="Times New Roman" w:hAnsi="Times New Roman" w:cs="Times New Roman"/>
          <w:sz w:val="24"/>
          <w:szCs w:val="24"/>
        </w:rPr>
      </w:pPr>
      <w:r w:rsidRPr="00A53CF7">
        <w:rPr>
          <w:rFonts w:ascii="Times New Roman" w:hAnsi="Times New Roman" w:cs="Times New Roman"/>
          <w:b/>
          <w:sz w:val="24"/>
          <w:szCs w:val="24"/>
        </w:rPr>
        <w:tab/>
      </w:r>
      <w:r w:rsidRPr="00A53CF7">
        <w:rPr>
          <w:rFonts w:ascii="Times New Roman" w:hAnsi="Times New Roman" w:cs="Times New Roman"/>
          <w:sz w:val="24"/>
          <w:szCs w:val="24"/>
        </w:rPr>
        <w:t xml:space="preserve">The case </w:t>
      </w:r>
      <w:r w:rsidRPr="00A53CF7">
        <w:rPr>
          <w:rFonts w:ascii="Times New Roman" w:hAnsi="Times New Roman" w:cs="Times New Roman"/>
          <w:i/>
          <w:sz w:val="24"/>
          <w:szCs w:val="24"/>
        </w:rPr>
        <w:t>Saint Vincent and the Grenadines v. Guinea International Tribunal for the Law of the Sea</w:t>
      </w:r>
      <w:r w:rsidRPr="00A53CF7">
        <w:rPr>
          <w:rFonts w:ascii="Times New Roman" w:hAnsi="Times New Roman" w:cs="Times New Roman"/>
          <w:sz w:val="24"/>
          <w:szCs w:val="24"/>
        </w:rPr>
        <w:t xml:space="preserve"> was present before the International Tribunal for the Law of the Sea by Saint Vince</w:t>
      </w:r>
      <w:r w:rsidR="000C4BC2">
        <w:rPr>
          <w:rFonts w:ascii="Times New Roman" w:hAnsi="Times New Roman" w:cs="Times New Roman"/>
          <w:sz w:val="24"/>
          <w:szCs w:val="24"/>
        </w:rPr>
        <w:t>nt and the Grenadines. T</w:t>
      </w:r>
      <w:r w:rsidR="00E561C9">
        <w:rPr>
          <w:rFonts w:ascii="Times New Roman" w:hAnsi="Times New Roman" w:cs="Times New Roman"/>
          <w:sz w:val="24"/>
          <w:szCs w:val="24"/>
        </w:rPr>
        <w:t>his took place preceding</w:t>
      </w:r>
      <w:r w:rsidR="000C4BC2">
        <w:rPr>
          <w:rFonts w:ascii="Times New Roman" w:hAnsi="Times New Roman" w:cs="Times New Roman"/>
          <w:sz w:val="24"/>
          <w:szCs w:val="24"/>
        </w:rPr>
        <w:t xml:space="preserve"> the capture </w:t>
      </w:r>
      <w:r w:rsidR="00E561C9">
        <w:rPr>
          <w:rFonts w:ascii="Times New Roman" w:hAnsi="Times New Roman" w:cs="Times New Roman"/>
          <w:sz w:val="24"/>
          <w:szCs w:val="24"/>
        </w:rPr>
        <w:t>of a</w:t>
      </w:r>
      <w:r w:rsidR="00AA5848">
        <w:rPr>
          <w:rFonts w:ascii="Times New Roman" w:hAnsi="Times New Roman" w:cs="Times New Roman"/>
          <w:sz w:val="24"/>
          <w:szCs w:val="24"/>
        </w:rPr>
        <w:t xml:space="preserve">n oil tanker, MV/Saiga which carried </w:t>
      </w:r>
      <w:r w:rsidRPr="00A53CF7">
        <w:rPr>
          <w:rFonts w:ascii="Times New Roman" w:hAnsi="Times New Roman" w:cs="Times New Roman"/>
          <w:sz w:val="24"/>
          <w:szCs w:val="24"/>
        </w:rPr>
        <w:t>Saint Vi</w:t>
      </w:r>
      <w:r w:rsidR="00AA5848">
        <w:rPr>
          <w:rFonts w:ascii="Times New Roman" w:hAnsi="Times New Roman" w:cs="Times New Roman"/>
          <w:sz w:val="24"/>
          <w:szCs w:val="24"/>
        </w:rPr>
        <w:t xml:space="preserve">ncent and the Grenadine flag leading to arrest and detainment of </w:t>
      </w:r>
      <w:r w:rsidRPr="00A53CF7">
        <w:rPr>
          <w:rFonts w:ascii="Times New Roman" w:hAnsi="Times New Roman" w:cs="Times New Roman"/>
          <w:sz w:val="24"/>
          <w:szCs w:val="24"/>
        </w:rPr>
        <w:t xml:space="preserve"> </w:t>
      </w:r>
      <w:r w:rsidRPr="00A53CF7">
        <w:rPr>
          <w:rFonts w:ascii="Times New Roman" w:hAnsi="Times New Roman" w:cs="Times New Roman"/>
          <w:sz w:val="24"/>
          <w:szCs w:val="24"/>
        </w:rPr>
        <w:t>its crew by Guinea</w:t>
      </w:r>
      <w:r w:rsidR="000C4BC2">
        <w:rPr>
          <w:rFonts w:ascii="Times New Roman" w:hAnsi="Times New Roman" w:cs="Times New Roman"/>
          <w:sz w:val="24"/>
          <w:szCs w:val="24"/>
        </w:rPr>
        <w:t xml:space="preserve">n authorities. The capturing of the ship was </w:t>
      </w:r>
      <w:r w:rsidRPr="00A53CF7">
        <w:rPr>
          <w:rFonts w:ascii="Times New Roman" w:hAnsi="Times New Roman" w:cs="Times New Roman"/>
          <w:sz w:val="24"/>
          <w:szCs w:val="24"/>
        </w:rPr>
        <w:t>after the MV/Saiga crossed the maritime boundari</w:t>
      </w:r>
      <w:r w:rsidRPr="00A53CF7">
        <w:rPr>
          <w:rFonts w:ascii="Times New Roman" w:hAnsi="Times New Roman" w:cs="Times New Roman"/>
          <w:sz w:val="24"/>
          <w:szCs w:val="24"/>
        </w:rPr>
        <w:t>es and entered the waters which were part of the Guinean exclusive economic zone in its attempts to supply fuel too fishing vessels. However, upon the arrest of MV/Saiga, the Guinean authorities failed to issue requests of bond or any form of financial and</w:t>
      </w:r>
      <w:r w:rsidRPr="00A53CF7">
        <w:rPr>
          <w:rFonts w:ascii="Times New Roman" w:hAnsi="Times New Roman" w:cs="Times New Roman"/>
          <w:sz w:val="24"/>
          <w:szCs w:val="24"/>
        </w:rPr>
        <w:t xml:space="preserve"> the crew remained under detention. This prompted Saint Vincent and the Grenadines to submit </w:t>
      </w:r>
      <w:r w:rsidR="000C4BC2">
        <w:rPr>
          <w:rFonts w:ascii="Times New Roman" w:hAnsi="Times New Roman" w:cs="Times New Roman"/>
          <w:sz w:val="24"/>
          <w:szCs w:val="24"/>
        </w:rPr>
        <w:t xml:space="preserve">a case </w:t>
      </w:r>
      <w:r w:rsidRPr="00A53CF7">
        <w:rPr>
          <w:rFonts w:ascii="Times New Roman" w:hAnsi="Times New Roman" w:cs="Times New Roman"/>
          <w:sz w:val="24"/>
          <w:szCs w:val="24"/>
        </w:rPr>
        <w:t xml:space="preserve">before the </w:t>
      </w:r>
      <w:r w:rsidR="000C4BC2" w:rsidRPr="00A53CF7">
        <w:rPr>
          <w:rFonts w:ascii="Times New Roman" w:hAnsi="Times New Roman" w:cs="Times New Roman"/>
          <w:sz w:val="24"/>
          <w:szCs w:val="24"/>
        </w:rPr>
        <w:t xml:space="preserve">International Tribunal for the Law of the Sea </w:t>
      </w:r>
      <w:r w:rsidRPr="00A53CF7">
        <w:rPr>
          <w:rFonts w:ascii="Times New Roman" w:hAnsi="Times New Roman" w:cs="Times New Roman"/>
          <w:sz w:val="24"/>
          <w:szCs w:val="24"/>
        </w:rPr>
        <w:t xml:space="preserve">that the ship, </w:t>
      </w:r>
      <w:r w:rsidR="000C4BC2">
        <w:rPr>
          <w:rFonts w:ascii="Times New Roman" w:hAnsi="Times New Roman" w:cs="Times New Roman"/>
          <w:sz w:val="24"/>
          <w:szCs w:val="24"/>
        </w:rPr>
        <w:t xml:space="preserve">its </w:t>
      </w:r>
      <w:r w:rsidRPr="00A53CF7">
        <w:rPr>
          <w:rFonts w:ascii="Times New Roman" w:hAnsi="Times New Roman" w:cs="Times New Roman"/>
          <w:sz w:val="24"/>
          <w:szCs w:val="24"/>
        </w:rPr>
        <w:t>crew, and cargo be released with immediate effect from detention by Guinean auth</w:t>
      </w:r>
      <w:r w:rsidRPr="00A53CF7">
        <w:rPr>
          <w:rFonts w:ascii="Times New Roman" w:hAnsi="Times New Roman" w:cs="Times New Roman"/>
          <w:sz w:val="24"/>
          <w:szCs w:val="24"/>
        </w:rPr>
        <w:t>orities with no requirements for the bond.</w:t>
      </w:r>
      <w:r w:rsidRPr="00A53CF7">
        <w:t xml:space="preserve"> </w:t>
      </w:r>
      <w:r w:rsidRPr="00A53CF7">
        <w:rPr>
          <w:rFonts w:ascii="Times New Roman" w:hAnsi="Times New Roman" w:cs="Times New Roman"/>
          <w:sz w:val="24"/>
          <w:szCs w:val="24"/>
        </w:rPr>
        <w:t>Saint Vincent and the Grena</w:t>
      </w:r>
      <w:r w:rsidR="000C4BC2">
        <w:rPr>
          <w:rFonts w:ascii="Times New Roman" w:hAnsi="Times New Roman" w:cs="Times New Roman"/>
          <w:sz w:val="24"/>
          <w:szCs w:val="24"/>
        </w:rPr>
        <w:t xml:space="preserve">dines, however, submitted </w:t>
      </w:r>
      <w:r w:rsidR="00AA5848">
        <w:rPr>
          <w:rFonts w:ascii="Times New Roman" w:hAnsi="Times New Roman" w:cs="Times New Roman"/>
          <w:sz w:val="24"/>
          <w:szCs w:val="24"/>
        </w:rPr>
        <w:t xml:space="preserve">that </w:t>
      </w:r>
      <w:r w:rsidR="000C4BC2">
        <w:rPr>
          <w:rFonts w:ascii="Times New Roman" w:hAnsi="Times New Roman" w:cs="Times New Roman"/>
          <w:sz w:val="24"/>
          <w:szCs w:val="24"/>
        </w:rPr>
        <w:t>the country was</w:t>
      </w:r>
      <w:r w:rsidRPr="00A53CF7">
        <w:rPr>
          <w:rFonts w:ascii="Times New Roman" w:hAnsi="Times New Roman" w:cs="Times New Roman"/>
          <w:sz w:val="24"/>
          <w:szCs w:val="24"/>
        </w:rPr>
        <w:t xml:space="preserve"> ready to provide any kind of security if the Tribunal warranted it. Guinea, on the other hand, made submissions to the tribunal seeking the dism</w:t>
      </w:r>
      <w:r w:rsidRPr="00A53CF7">
        <w:rPr>
          <w:rFonts w:ascii="Times New Roman" w:hAnsi="Times New Roman" w:cs="Times New Roman"/>
          <w:sz w:val="24"/>
          <w:szCs w:val="24"/>
        </w:rPr>
        <w:t>issal of Saint Vincent and the Grenadines' action.</w:t>
      </w:r>
    </w:p>
    <w:p w14:paraId="4B867726" w14:textId="77777777" w:rsidR="00A53CF7" w:rsidRPr="00A53CF7" w:rsidRDefault="00870954" w:rsidP="00262123">
      <w:pPr>
        <w:rPr>
          <w:rFonts w:ascii="Times New Roman" w:hAnsi="Times New Roman" w:cs="Times New Roman"/>
          <w:b/>
          <w:sz w:val="24"/>
          <w:szCs w:val="24"/>
        </w:rPr>
      </w:pPr>
      <w:r w:rsidRPr="00A53CF7">
        <w:rPr>
          <w:rFonts w:ascii="Times New Roman" w:hAnsi="Times New Roman" w:cs="Times New Roman"/>
          <w:b/>
          <w:sz w:val="24"/>
          <w:szCs w:val="24"/>
        </w:rPr>
        <w:t>Issues of the case</w:t>
      </w:r>
    </w:p>
    <w:p w14:paraId="0095C9DF" w14:textId="0CF77932" w:rsidR="00A53CF7" w:rsidRPr="00A53CF7" w:rsidRDefault="00870954" w:rsidP="00262123">
      <w:pPr>
        <w:ind w:left="0" w:firstLine="0"/>
        <w:rPr>
          <w:rFonts w:ascii="Times New Roman" w:hAnsi="Times New Roman" w:cs="Times New Roman"/>
          <w:sz w:val="24"/>
          <w:szCs w:val="24"/>
        </w:rPr>
      </w:pPr>
      <w:r w:rsidRPr="00A53CF7">
        <w:rPr>
          <w:rFonts w:ascii="Times New Roman" w:hAnsi="Times New Roman" w:cs="Times New Roman"/>
          <w:b/>
          <w:sz w:val="24"/>
          <w:szCs w:val="24"/>
        </w:rPr>
        <w:tab/>
      </w:r>
      <w:r w:rsidR="000C4BC2">
        <w:rPr>
          <w:rFonts w:ascii="Times New Roman" w:hAnsi="Times New Roman" w:cs="Times New Roman"/>
          <w:sz w:val="24"/>
          <w:szCs w:val="24"/>
        </w:rPr>
        <w:t xml:space="preserve">The issues </w:t>
      </w:r>
      <w:r w:rsidR="00AA5848">
        <w:rPr>
          <w:rFonts w:ascii="Times New Roman" w:hAnsi="Times New Roman" w:cs="Times New Roman"/>
          <w:sz w:val="24"/>
          <w:szCs w:val="24"/>
        </w:rPr>
        <w:t>in the case</w:t>
      </w:r>
      <w:r w:rsidRPr="00A53CF7">
        <w:t xml:space="preserve"> </w:t>
      </w:r>
      <w:r w:rsidRPr="00A53CF7">
        <w:rPr>
          <w:rFonts w:ascii="Times New Roman" w:hAnsi="Times New Roman" w:cs="Times New Roman"/>
          <w:i/>
          <w:sz w:val="24"/>
          <w:szCs w:val="24"/>
        </w:rPr>
        <w:t xml:space="preserve">Saint Vincent and the Grenadines v. Guinea International Tribunal for the Law of the Sea </w:t>
      </w:r>
      <w:r w:rsidR="000C4BC2">
        <w:rPr>
          <w:rFonts w:ascii="Times New Roman" w:hAnsi="Times New Roman" w:cs="Times New Roman"/>
          <w:sz w:val="24"/>
          <w:szCs w:val="24"/>
        </w:rPr>
        <w:t>was the need to determine if</w:t>
      </w:r>
      <w:r w:rsidRPr="00A53CF7">
        <w:rPr>
          <w:rFonts w:ascii="Times New Roman" w:hAnsi="Times New Roman" w:cs="Times New Roman"/>
          <w:sz w:val="24"/>
          <w:szCs w:val="24"/>
        </w:rPr>
        <w:t xml:space="preserve"> Guine</w:t>
      </w:r>
      <w:r w:rsidR="000C4BC2">
        <w:rPr>
          <w:rFonts w:ascii="Times New Roman" w:hAnsi="Times New Roman" w:cs="Times New Roman"/>
          <w:sz w:val="24"/>
          <w:szCs w:val="24"/>
        </w:rPr>
        <w:t xml:space="preserve">a had acted in contravention of </w:t>
      </w:r>
      <w:r w:rsidRPr="00A53CF7">
        <w:rPr>
          <w:rFonts w:ascii="Times New Roman" w:hAnsi="Times New Roman" w:cs="Times New Roman"/>
          <w:sz w:val="24"/>
          <w:szCs w:val="24"/>
        </w:rPr>
        <w:t xml:space="preserve">the </w:t>
      </w:r>
      <w:r w:rsidRPr="00A53CF7">
        <w:rPr>
          <w:rFonts w:ascii="Times New Roman" w:hAnsi="Times New Roman" w:cs="Times New Roman"/>
          <w:sz w:val="24"/>
          <w:szCs w:val="24"/>
        </w:rPr>
        <w:t>rights of Saint Vincent and Grenadines by failing to announce bond on arrested hostages.</w:t>
      </w:r>
    </w:p>
    <w:p w14:paraId="0D6E140E" w14:textId="77777777" w:rsidR="00A53CF7" w:rsidRPr="00A53CF7" w:rsidRDefault="00870954" w:rsidP="00262123">
      <w:pPr>
        <w:rPr>
          <w:rFonts w:ascii="Times New Roman" w:hAnsi="Times New Roman" w:cs="Times New Roman"/>
          <w:b/>
          <w:sz w:val="24"/>
          <w:szCs w:val="24"/>
        </w:rPr>
      </w:pPr>
      <w:r w:rsidRPr="00A53CF7">
        <w:rPr>
          <w:rFonts w:ascii="Times New Roman" w:hAnsi="Times New Roman" w:cs="Times New Roman"/>
          <w:b/>
          <w:sz w:val="24"/>
          <w:szCs w:val="24"/>
        </w:rPr>
        <w:t>Rule</w:t>
      </w:r>
    </w:p>
    <w:p w14:paraId="53041EB9" w14:textId="0CF13BEC" w:rsidR="00A53CF7" w:rsidRPr="00A53CF7" w:rsidRDefault="00870954" w:rsidP="00262123">
      <w:pPr>
        <w:ind w:left="0" w:firstLine="0"/>
        <w:rPr>
          <w:rFonts w:ascii="Times New Roman" w:hAnsi="Times New Roman" w:cs="Times New Roman"/>
          <w:b/>
          <w:sz w:val="24"/>
          <w:szCs w:val="24"/>
        </w:rPr>
      </w:pPr>
      <w:r w:rsidRPr="00A53CF7">
        <w:rPr>
          <w:rFonts w:ascii="Times New Roman" w:hAnsi="Times New Roman" w:cs="Times New Roman"/>
          <w:sz w:val="24"/>
          <w:szCs w:val="24"/>
        </w:rPr>
        <w:lastRenderedPageBreak/>
        <w:tab/>
        <w:t>The t</w:t>
      </w:r>
      <w:r w:rsidR="00A52100">
        <w:rPr>
          <w:rFonts w:ascii="Times New Roman" w:hAnsi="Times New Roman" w:cs="Times New Roman"/>
          <w:sz w:val="24"/>
          <w:szCs w:val="24"/>
        </w:rPr>
        <w:t xml:space="preserve">ribunal ruled that Guinea was required to </w:t>
      </w:r>
      <w:r w:rsidR="00A52100" w:rsidRPr="00A53CF7">
        <w:rPr>
          <w:rFonts w:ascii="Times New Roman" w:hAnsi="Times New Roman" w:cs="Times New Roman"/>
          <w:sz w:val="24"/>
          <w:szCs w:val="24"/>
        </w:rPr>
        <w:t>immediately</w:t>
      </w:r>
      <w:r w:rsidRPr="00A53CF7">
        <w:rPr>
          <w:rFonts w:ascii="Times New Roman" w:hAnsi="Times New Roman" w:cs="Times New Roman"/>
          <w:sz w:val="24"/>
          <w:szCs w:val="24"/>
        </w:rPr>
        <w:t xml:space="preserve"> release the MV/Saiga and its crew</w:t>
      </w:r>
      <w:r w:rsidR="00AA5848">
        <w:rPr>
          <w:rFonts w:ascii="Times New Roman" w:hAnsi="Times New Roman" w:cs="Times New Roman"/>
          <w:sz w:val="24"/>
          <w:szCs w:val="24"/>
        </w:rPr>
        <w:t xml:space="preserve"> </w:t>
      </w:r>
      <w:r w:rsidR="00A52100">
        <w:rPr>
          <w:rFonts w:ascii="Times New Roman" w:hAnsi="Times New Roman" w:cs="Times New Roman"/>
          <w:sz w:val="24"/>
          <w:szCs w:val="24"/>
        </w:rPr>
        <w:t>members. Additionally, it was ruled</w:t>
      </w:r>
      <w:r w:rsidRPr="00A53CF7">
        <w:rPr>
          <w:rFonts w:ascii="Times New Roman" w:hAnsi="Times New Roman" w:cs="Times New Roman"/>
          <w:sz w:val="24"/>
          <w:szCs w:val="24"/>
        </w:rPr>
        <w:t xml:space="preserve"> that Saint Vincent and the Grenad</w:t>
      </w:r>
      <w:r w:rsidRPr="00A53CF7">
        <w:rPr>
          <w:rFonts w:ascii="Times New Roman" w:hAnsi="Times New Roman" w:cs="Times New Roman"/>
          <w:sz w:val="24"/>
          <w:szCs w:val="24"/>
        </w:rPr>
        <w:t>ines posted a security in the form of fuel from the tanker and an amount $400000</w:t>
      </w:r>
    </w:p>
    <w:p w14:paraId="601B890B" w14:textId="77777777" w:rsidR="00A53CF7" w:rsidRPr="00A53CF7" w:rsidRDefault="00870954" w:rsidP="00262123">
      <w:pPr>
        <w:rPr>
          <w:rFonts w:ascii="Times New Roman" w:hAnsi="Times New Roman" w:cs="Times New Roman"/>
          <w:b/>
          <w:sz w:val="24"/>
          <w:szCs w:val="24"/>
        </w:rPr>
      </w:pPr>
      <w:r w:rsidRPr="00A53CF7">
        <w:rPr>
          <w:rFonts w:ascii="Times New Roman" w:hAnsi="Times New Roman" w:cs="Times New Roman"/>
          <w:b/>
          <w:sz w:val="24"/>
          <w:szCs w:val="24"/>
        </w:rPr>
        <w:t>Analysis</w:t>
      </w:r>
    </w:p>
    <w:p w14:paraId="1B654776" w14:textId="3D908DD9" w:rsidR="00A53CF7" w:rsidRPr="00A53CF7" w:rsidRDefault="00870954" w:rsidP="00262123">
      <w:pPr>
        <w:ind w:left="0" w:firstLine="0"/>
        <w:rPr>
          <w:rFonts w:ascii="Times New Roman" w:hAnsi="Times New Roman" w:cs="Times New Roman"/>
          <w:sz w:val="24"/>
          <w:szCs w:val="24"/>
        </w:rPr>
      </w:pPr>
      <w:r w:rsidRPr="00A53CF7">
        <w:rPr>
          <w:rFonts w:ascii="Times New Roman" w:hAnsi="Times New Roman" w:cs="Times New Roman"/>
          <w:sz w:val="24"/>
          <w:szCs w:val="24"/>
        </w:rPr>
        <w:tab/>
        <w:t>The rule of law that applied to this case sc</w:t>
      </w:r>
      <w:r w:rsidR="00AA5848">
        <w:rPr>
          <w:rFonts w:ascii="Times New Roman" w:hAnsi="Times New Roman" w:cs="Times New Roman"/>
          <w:sz w:val="24"/>
          <w:szCs w:val="24"/>
        </w:rPr>
        <w:t xml:space="preserve">enario was under </w:t>
      </w:r>
      <w:r w:rsidRPr="00A53CF7">
        <w:rPr>
          <w:rFonts w:ascii="Times New Roman" w:hAnsi="Times New Roman" w:cs="Times New Roman"/>
          <w:sz w:val="24"/>
          <w:szCs w:val="24"/>
        </w:rPr>
        <w:t xml:space="preserve">the United Nations Convention </w:t>
      </w:r>
      <w:r w:rsidR="00AA5848">
        <w:rPr>
          <w:rFonts w:ascii="Times New Roman" w:hAnsi="Times New Roman" w:cs="Times New Roman"/>
          <w:sz w:val="24"/>
          <w:szCs w:val="24"/>
        </w:rPr>
        <w:t>article 292 of</w:t>
      </w:r>
      <w:r w:rsidRPr="00A53CF7">
        <w:rPr>
          <w:rFonts w:ascii="Times New Roman" w:hAnsi="Times New Roman" w:cs="Times New Roman"/>
          <w:sz w:val="24"/>
          <w:szCs w:val="24"/>
        </w:rPr>
        <w:t xml:space="preserve"> the L</w:t>
      </w:r>
      <w:r w:rsidR="00AA5848">
        <w:rPr>
          <w:rFonts w:ascii="Times New Roman" w:hAnsi="Times New Roman" w:cs="Times New Roman"/>
          <w:sz w:val="24"/>
          <w:szCs w:val="24"/>
        </w:rPr>
        <w:t>aw of the Sea</w:t>
      </w:r>
      <w:r w:rsidR="00A52100">
        <w:rPr>
          <w:rFonts w:ascii="Times New Roman" w:hAnsi="Times New Roman" w:cs="Times New Roman"/>
          <w:sz w:val="24"/>
          <w:szCs w:val="24"/>
        </w:rPr>
        <w:t xml:space="preserve">. This law </w:t>
      </w:r>
      <w:r w:rsidRPr="00A53CF7">
        <w:rPr>
          <w:rFonts w:ascii="Times New Roman" w:hAnsi="Times New Roman" w:cs="Times New Roman"/>
          <w:sz w:val="24"/>
          <w:szCs w:val="24"/>
        </w:rPr>
        <w:t>dictated that it w</w:t>
      </w:r>
      <w:r w:rsidRPr="00A53CF7">
        <w:rPr>
          <w:rFonts w:ascii="Times New Roman" w:hAnsi="Times New Roman" w:cs="Times New Roman"/>
          <w:sz w:val="24"/>
          <w:szCs w:val="24"/>
        </w:rPr>
        <w:t>as a requirement of the law for a bond to be posted by parties infringing the conventions</w:t>
      </w:r>
      <w:r w:rsidR="00A52100">
        <w:rPr>
          <w:rFonts w:ascii="Times New Roman" w:hAnsi="Times New Roman" w:cs="Times New Roman"/>
          <w:sz w:val="24"/>
          <w:szCs w:val="24"/>
        </w:rPr>
        <w:t>’</w:t>
      </w:r>
      <w:r w:rsidRPr="00A53CF7">
        <w:rPr>
          <w:rFonts w:ascii="Times New Roman" w:hAnsi="Times New Roman" w:cs="Times New Roman"/>
          <w:sz w:val="24"/>
          <w:szCs w:val="24"/>
        </w:rPr>
        <w:t xml:space="preserve"> laws. Guinea’s submission was thrown out on the basis of the 2</w:t>
      </w:r>
      <w:r w:rsidRPr="00A53CF7">
        <w:rPr>
          <w:rFonts w:ascii="Times New Roman" w:hAnsi="Times New Roman" w:cs="Times New Roman"/>
          <w:sz w:val="24"/>
          <w:szCs w:val="24"/>
          <w:vertAlign w:val="superscript"/>
        </w:rPr>
        <w:t>nd</w:t>
      </w:r>
      <w:r w:rsidRPr="00A53CF7">
        <w:rPr>
          <w:rFonts w:ascii="Times New Roman" w:hAnsi="Times New Roman" w:cs="Times New Roman"/>
          <w:sz w:val="24"/>
          <w:szCs w:val="24"/>
        </w:rPr>
        <w:t xml:space="preserve"> paragraph of article 73 of the UNCLOS which require that a bond or security must be offered and post</w:t>
      </w:r>
      <w:r w:rsidRPr="00A53CF7">
        <w:rPr>
          <w:rFonts w:ascii="Times New Roman" w:hAnsi="Times New Roman" w:cs="Times New Roman"/>
          <w:sz w:val="24"/>
          <w:szCs w:val="24"/>
        </w:rPr>
        <w:t>ed.</w:t>
      </w:r>
    </w:p>
    <w:p w14:paraId="177332E4" w14:textId="77777777" w:rsidR="00A53CF7" w:rsidRPr="00A53CF7" w:rsidRDefault="00870954" w:rsidP="00262123">
      <w:pPr>
        <w:rPr>
          <w:rFonts w:ascii="Times New Roman" w:hAnsi="Times New Roman" w:cs="Times New Roman"/>
          <w:b/>
          <w:sz w:val="24"/>
          <w:szCs w:val="24"/>
        </w:rPr>
      </w:pPr>
      <w:r w:rsidRPr="00A53CF7">
        <w:rPr>
          <w:rFonts w:ascii="Times New Roman" w:hAnsi="Times New Roman" w:cs="Times New Roman"/>
          <w:b/>
          <w:sz w:val="24"/>
          <w:szCs w:val="24"/>
        </w:rPr>
        <w:t xml:space="preserve">Conclusion </w:t>
      </w:r>
    </w:p>
    <w:p w14:paraId="39741112" w14:textId="77777777" w:rsidR="00A53CF7" w:rsidRPr="00A53CF7" w:rsidRDefault="00870954" w:rsidP="00262123">
      <w:pPr>
        <w:ind w:left="0" w:firstLine="0"/>
        <w:rPr>
          <w:rFonts w:ascii="Times New Roman" w:hAnsi="Times New Roman" w:cs="Times New Roman"/>
          <w:sz w:val="24"/>
          <w:szCs w:val="24"/>
        </w:rPr>
      </w:pPr>
      <w:r w:rsidRPr="00A53CF7">
        <w:rPr>
          <w:rFonts w:ascii="Times New Roman" w:hAnsi="Times New Roman" w:cs="Times New Roman"/>
          <w:b/>
          <w:sz w:val="24"/>
          <w:szCs w:val="24"/>
        </w:rPr>
        <w:tab/>
      </w:r>
      <w:r w:rsidRPr="00A53CF7">
        <w:rPr>
          <w:rFonts w:ascii="Times New Roman" w:hAnsi="Times New Roman" w:cs="Times New Roman"/>
          <w:sz w:val="24"/>
          <w:szCs w:val="24"/>
        </w:rPr>
        <w:t>Yes, the rule was relevant and in adherence to the UNCLOS regulation. Additionally, the rule applies to the facts of the case.</w:t>
      </w:r>
    </w:p>
    <w:p w14:paraId="34BFBAE1" w14:textId="77777777" w:rsidR="00015AD0" w:rsidRDefault="00870954" w:rsidP="00015AD0">
      <w:pPr>
        <w:rPr>
          <w:rFonts w:ascii="Times New Roman" w:hAnsi="Times New Roman" w:cs="Times New Roman"/>
          <w:sz w:val="24"/>
          <w:szCs w:val="24"/>
        </w:rPr>
      </w:pPr>
      <w:r>
        <w:rPr>
          <w:rFonts w:ascii="Times New Roman" w:hAnsi="Times New Roman" w:cs="Times New Roman"/>
          <w:sz w:val="24"/>
          <w:szCs w:val="24"/>
        </w:rPr>
        <w:br w:type="page"/>
      </w:r>
    </w:p>
    <w:p w14:paraId="3A710D53" w14:textId="77777777" w:rsidR="00015AD0" w:rsidRPr="00015AD0" w:rsidRDefault="00870954" w:rsidP="00015AD0">
      <w:pPr>
        <w:ind w:firstLine="0"/>
        <w:jc w:val="center"/>
        <w:rPr>
          <w:rFonts w:ascii="Times New Roman" w:hAnsi="Times New Roman" w:cs="Times New Roman"/>
          <w:b/>
        </w:rPr>
      </w:pPr>
      <w:r w:rsidRPr="00015AD0">
        <w:rPr>
          <w:rFonts w:ascii="Times New Roman" w:hAnsi="Times New Roman" w:cs="Times New Roman"/>
          <w:b/>
        </w:rPr>
        <w:lastRenderedPageBreak/>
        <w:t>Libyan Arab Foreign Bank v. Bankers Trust Company</w:t>
      </w:r>
    </w:p>
    <w:p w14:paraId="1E18FCDA" w14:textId="77777777" w:rsidR="00015AD0" w:rsidRPr="00015AD0" w:rsidRDefault="00870954" w:rsidP="00262123">
      <w:pPr>
        <w:rPr>
          <w:rFonts w:ascii="Times New Roman" w:hAnsi="Times New Roman" w:cs="Times New Roman"/>
          <w:b/>
        </w:rPr>
      </w:pPr>
      <w:r w:rsidRPr="00015AD0">
        <w:rPr>
          <w:rFonts w:ascii="Times New Roman" w:hAnsi="Times New Roman" w:cs="Times New Roman"/>
          <w:b/>
        </w:rPr>
        <w:t>Facts of the case</w:t>
      </w:r>
    </w:p>
    <w:p w14:paraId="3FA8E68D" w14:textId="3A534392" w:rsidR="00015AD0" w:rsidRPr="00015AD0" w:rsidRDefault="00870954" w:rsidP="00262123">
      <w:pPr>
        <w:ind w:left="0" w:firstLine="0"/>
        <w:rPr>
          <w:rFonts w:ascii="Times New Roman" w:hAnsi="Times New Roman" w:cs="Times New Roman"/>
        </w:rPr>
      </w:pPr>
      <w:r w:rsidRPr="00015AD0">
        <w:rPr>
          <w:rFonts w:ascii="Times New Roman" w:hAnsi="Times New Roman" w:cs="Times New Roman"/>
        </w:rPr>
        <w:tab/>
        <w:t xml:space="preserve">The case </w:t>
      </w:r>
      <w:r w:rsidRPr="00015AD0">
        <w:rPr>
          <w:rFonts w:ascii="Times New Roman" w:hAnsi="Times New Roman" w:cs="Times New Roman"/>
          <w:i/>
        </w:rPr>
        <w:t xml:space="preserve">Libyan Arab Foreign Bank v. Bankers Trust Company </w:t>
      </w:r>
      <w:r w:rsidR="00AA5848">
        <w:rPr>
          <w:rFonts w:ascii="Times New Roman" w:hAnsi="Times New Roman" w:cs="Times New Roman"/>
        </w:rPr>
        <w:t>were that on</w:t>
      </w:r>
      <w:r w:rsidRPr="00015AD0">
        <w:rPr>
          <w:rFonts w:ascii="Times New Roman" w:hAnsi="Times New Roman" w:cs="Times New Roman"/>
        </w:rPr>
        <w:t xml:space="preserve"> 8</w:t>
      </w:r>
      <w:r w:rsidRPr="00015AD0">
        <w:rPr>
          <w:rFonts w:ascii="Times New Roman" w:hAnsi="Times New Roman" w:cs="Times New Roman"/>
          <w:vertAlign w:val="superscript"/>
        </w:rPr>
        <w:t>th</w:t>
      </w:r>
      <w:r w:rsidR="00632D7C">
        <w:rPr>
          <w:rFonts w:ascii="Times New Roman" w:hAnsi="Times New Roman" w:cs="Times New Roman"/>
        </w:rPr>
        <w:t xml:space="preserve"> of January 1986, a</w:t>
      </w:r>
      <w:r w:rsidRPr="00015AD0">
        <w:rPr>
          <w:rFonts w:ascii="Times New Roman" w:hAnsi="Times New Roman" w:cs="Times New Roman"/>
        </w:rPr>
        <w:t xml:space="preserve"> bank that was based in Libya made a call account deposit amounting to $135'5 million with the Bankers Trust, a New York-based corporation's London branch. However, on</w:t>
      </w:r>
      <w:r w:rsidRPr="00015AD0">
        <w:rPr>
          <w:rFonts w:ascii="Times New Roman" w:hAnsi="Times New Roman" w:cs="Times New Roman"/>
        </w:rPr>
        <w:t xml:space="preserve"> the same day, the United States instituted sanctions on Libya and froze all Libyan assets on </w:t>
      </w:r>
      <w:r w:rsidR="00A52100" w:rsidRPr="00015AD0">
        <w:rPr>
          <w:rFonts w:ascii="Times New Roman" w:hAnsi="Times New Roman" w:cs="Times New Roman"/>
        </w:rPr>
        <w:t>United States</w:t>
      </w:r>
      <w:r w:rsidRPr="00015AD0">
        <w:rPr>
          <w:rFonts w:ascii="Times New Roman" w:hAnsi="Times New Roman" w:cs="Times New Roman"/>
        </w:rPr>
        <w:t xml:space="preserve"> soil. According to the la</w:t>
      </w:r>
      <w:r w:rsidR="00AA5848">
        <w:rPr>
          <w:rFonts w:ascii="Times New Roman" w:hAnsi="Times New Roman" w:cs="Times New Roman"/>
        </w:rPr>
        <w:t xml:space="preserve">ws of the city of New York, sanctions included </w:t>
      </w:r>
      <w:r w:rsidRPr="00015AD0">
        <w:rPr>
          <w:rFonts w:ascii="Times New Roman" w:hAnsi="Times New Roman" w:cs="Times New Roman"/>
        </w:rPr>
        <w:t>cash deposits in the Bankers Trust London Branch. However, this wa</w:t>
      </w:r>
      <w:r w:rsidRPr="00015AD0">
        <w:rPr>
          <w:rFonts w:ascii="Times New Roman" w:hAnsi="Times New Roman" w:cs="Times New Roman"/>
        </w:rPr>
        <w:t xml:space="preserve">s not so according to English laws. The Libyan bank </w:t>
      </w:r>
      <w:r w:rsidR="00A52100">
        <w:rPr>
          <w:rFonts w:ascii="Times New Roman" w:hAnsi="Times New Roman" w:cs="Times New Roman"/>
        </w:rPr>
        <w:t xml:space="preserve">instituted legal action against legal action against </w:t>
      </w:r>
      <w:r w:rsidRPr="00015AD0">
        <w:rPr>
          <w:rFonts w:ascii="Times New Roman" w:hAnsi="Times New Roman" w:cs="Times New Roman"/>
        </w:rPr>
        <w:t>Bankers Trust in the United Kingdo</w:t>
      </w:r>
      <w:r w:rsidR="00AA5848">
        <w:rPr>
          <w:rFonts w:ascii="Times New Roman" w:hAnsi="Times New Roman" w:cs="Times New Roman"/>
        </w:rPr>
        <w:t>m with the aim of recovering</w:t>
      </w:r>
      <w:r w:rsidRPr="00015AD0">
        <w:rPr>
          <w:rFonts w:ascii="Times New Roman" w:hAnsi="Times New Roman" w:cs="Times New Roman"/>
        </w:rPr>
        <w:t xml:space="preserve"> frozen assets. The Bankers Trust in its defense claimed that the New York law prohib</w:t>
      </w:r>
      <w:r w:rsidRPr="00015AD0">
        <w:rPr>
          <w:rFonts w:ascii="Times New Roman" w:hAnsi="Times New Roman" w:cs="Times New Roman"/>
        </w:rPr>
        <w:t xml:space="preserve">ited the bank from handling any Libyan related finances during the sanction period. Additionally, the Bankers Trust submitted that all contracts entered with the trust were not subject to English Law but to New York law. </w:t>
      </w:r>
    </w:p>
    <w:p w14:paraId="2EACD6C2" w14:textId="77777777" w:rsidR="00015AD0" w:rsidRPr="00015AD0" w:rsidRDefault="00870954" w:rsidP="00262123">
      <w:pPr>
        <w:rPr>
          <w:rFonts w:ascii="Times New Roman" w:hAnsi="Times New Roman" w:cs="Times New Roman"/>
          <w:b/>
        </w:rPr>
      </w:pPr>
      <w:r w:rsidRPr="00015AD0">
        <w:rPr>
          <w:rFonts w:ascii="Times New Roman" w:hAnsi="Times New Roman" w:cs="Times New Roman"/>
          <w:b/>
        </w:rPr>
        <w:t>Issues arising in the case</w:t>
      </w:r>
    </w:p>
    <w:p w14:paraId="37B7975C" w14:textId="16BA7FE5" w:rsidR="00015AD0" w:rsidRPr="00015AD0" w:rsidRDefault="00870954" w:rsidP="00262123">
      <w:pPr>
        <w:ind w:left="0" w:firstLine="0"/>
        <w:rPr>
          <w:rFonts w:ascii="Times New Roman" w:hAnsi="Times New Roman" w:cs="Times New Roman"/>
        </w:rPr>
      </w:pPr>
      <w:r w:rsidRPr="00015AD0">
        <w:rPr>
          <w:rFonts w:ascii="Times New Roman" w:hAnsi="Times New Roman" w:cs="Times New Roman"/>
          <w:b/>
        </w:rPr>
        <w:tab/>
      </w:r>
      <w:r w:rsidR="00AA5848">
        <w:rPr>
          <w:rFonts w:ascii="Times New Roman" w:hAnsi="Times New Roman" w:cs="Times New Roman"/>
        </w:rPr>
        <w:t>Determining the law which</w:t>
      </w:r>
      <w:r w:rsidRPr="00015AD0">
        <w:rPr>
          <w:rFonts w:ascii="Times New Roman" w:hAnsi="Times New Roman" w:cs="Times New Roman"/>
        </w:rPr>
        <w:t xml:space="preserve"> had jurisdiction over the Bankers Trust' London branch</w:t>
      </w:r>
      <w:r w:rsidR="00AA5848">
        <w:rPr>
          <w:rFonts w:ascii="Times New Roman" w:hAnsi="Times New Roman" w:cs="Times New Roman"/>
        </w:rPr>
        <w:t xml:space="preserve"> was the first issue in this case. S</w:t>
      </w:r>
      <w:r w:rsidRPr="00015AD0">
        <w:rPr>
          <w:rFonts w:ascii="Times New Roman" w:hAnsi="Times New Roman" w:cs="Times New Roman"/>
        </w:rPr>
        <w:t>econd</w:t>
      </w:r>
      <w:r w:rsidR="00AA5848">
        <w:rPr>
          <w:rFonts w:ascii="Times New Roman" w:hAnsi="Times New Roman" w:cs="Times New Roman"/>
        </w:rPr>
        <w:t>ly,</w:t>
      </w:r>
      <w:r w:rsidRPr="00015AD0">
        <w:rPr>
          <w:rFonts w:ascii="Times New Roman" w:hAnsi="Times New Roman" w:cs="Times New Roman"/>
        </w:rPr>
        <w:t xml:space="preserve"> </w:t>
      </w:r>
      <w:r w:rsidR="00A52100">
        <w:rPr>
          <w:rFonts w:ascii="Times New Roman" w:hAnsi="Times New Roman" w:cs="Times New Roman"/>
        </w:rPr>
        <w:t xml:space="preserve">the need to </w:t>
      </w:r>
      <w:r w:rsidRPr="00015AD0">
        <w:rPr>
          <w:rFonts w:ascii="Times New Roman" w:hAnsi="Times New Roman" w:cs="Times New Roman"/>
        </w:rPr>
        <w:t>determine</w:t>
      </w:r>
      <w:r w:rsidR="00A52100">
        <w:rPr>
          <w:rFonts w:ascii="Times New Roman" w:hAnsi="Times New Roman" w:cs="Times New Roman"/>
        </w:rPr>
        <w:t xml:space="preserve"> whethe</w:t>
      </w:r>
      <w:r w:rsidR="00AA5848">
        <w:rPr>
          <w:rFonts w:ascii="Times New Roman" w:hAnsi="Times New Roman" w:cs="Times New Roman"/>
        </w:rPr>
        <w:t>r each of the accounts</w:t>
      </w:r>
      <w:r w:rsidR="00A52100">
        <w:rPr>
          <w:rFonts w:ascii="Times New Roman" w:hAnsi="Times New Roman" w:cs="Times New Roman"/>
        </w:rPr>
        <w:t xml:space="preserve"> managed by</w:t>
      </w:r>
      <w:r w:rsidRPr="00015AD0">
        <w:rPr>
          <w:rFonts w:ascii="Times New Roman" w:hAnsi="Times New Roman" w:cs="Times New Roman"/>
        </w:rPr>
        <w:t xml:space="preserve"> the Banker's Trust was governe</w:t>
      </w:r>
      <w:r w:rsidRPr="00015AD0">
        <w:rPr>
          <w:rFonts w:ascii="Times New Roman" w:hAnsi="Times New Roman" w:cs="Times New Roman"/>
        </w:rPr>
        <w:t>d by a separate account contract or they were under a single contract that was in respect to two different laws.</w:t>
      </w:r>
    </w:p>
    <w:p w14:paraId="542A93E2" w14:textId="77777777" w:rsidR="00015AD0" w:rsidRPr="00015AD0" w:rsidRDefault="00870954" w:rsidP="00262123">
      <w:pPr>
        <w:rPr>
          <w:rFonts w:ascii="Times New Roman" w:hAnsi="Times New Roman" w:cs="Times New Roman"/>
          <w:b/>
        </w:rPr>
      </w:pPr>
      <w:r w:rsidRPr="00015AD0">
        <w:rPr>
          <w:rFonts w:ascii="Times New Roman" w:hAnsi="Times New Roman" w:cs="Times New Roman"/>
          <w:b/>
        </w:rPr>
        <w:t>Rule</w:t>
      </w:r>
    </w:p>
    <w:p w14:paraId="0078197A" w14:textId="044609EF" w:rsidR="00015AD0" w:rsidRPr="00015AD0" w:rsidRDefault="00870954" w:rsidP="00262123">
      <w:pPr>
        <w:ind w:left="0" w:firstLine="0"/>
        <w:rPr>
          <w:rFonts w:ascii="Times New Roman" w:hAnsi="Times New Roman" w:cs="Times New Roman"/>
        </w:rPr>
      </w:pPr>
      <w:r w:rsidRPr="00015AD0">
        <w:rPr>
          <w:rFonts w:ascii="Times New Roman" w:hAnsi="Times New Roman" w:cs="Times New Roman"/>
          <w:b/>
        </w:rPr>
        <w:tab/>
      </w:r>
      <w:r w:rsidRPr="00015AD0">
        <w:rPr>
          <w:rFonts w:ascii="Times New Roman" w:hAnsi="Times New Roman" w:cs="Times New Roman"/>
        </w:rPr>
        <w:t>The court ruled and held that the Banker’s Trust was obligated to help t</w:t>
      </w:r>
      <w:r w:rsidR="00A52100">
        <w:rPr>
          <w:rFonts w:ascii="Times New Roman" w:hAnsi="Times New Roman" w:cs="Times New Roman"/>
        </w:rPr>
        <w:t>he Libyan Bank recover the money that it had deposited with the</w:t>
      </w:r>
      <w:r w:rsidRPr="00015AD0">
        <w:rPr>
          <w:rFonts w:ascii="Times New Roman" w:hAnsi="Times New Roman" w:cs="Times New Roman"/>
        </w:rPr>
        <w:t xml:space="preserve"> B</w:t>
      </w:r>
      <w:r w:rsidRPr="00015AD0">
        <w:rPr>
          <w:rFonts w:ascii="Times New Roman" w:hAnsi="Times New Roman" w:cs="Times New Roman"/>
        </w:rPr>
        <w:t>ankers Trust</w:t>
      </w:r>
      <w:r w:rsidR="00A52100">
        <w:rPr>
          <w:rFonts w:ascii="Times New Roman" w:hAnsi="Times New Roman" w:cs="Times New Roman"/>
        </w:rPr>
        <w:t>’s</w:t>
      </w:r>
      <w:r w:rsidR="00A52100" w:rsidRPr="00A52100">
        <w:rPr>
          <w:rFonts w:ascii="Times New Roman" w:hAnsi="Times New Roman" w:cs="Times New Roman"/>
        </w:rPr>
        <w:t xml:space="preserve"> </w:t>
      </w:r>
      <w:r w:rsidR="00A52100">
        <w:rPr>
          <w:rFonts w:ascii="Times New Roman" w:hAnsi="Times New Roman" w:cs="Times New Roman"/>
        </w:rPr>
        <w:t>London branch.</w:t>
      </w:r>
      <w:r w:rsidRPr="00015AD0">
        <w:rPr>
          <w:rFonts w:ascii="Times New Roman" w:hAnsi="Times New Roman" w:cs="Times New Roman"/>
        </w:rPr>
        <w:t xml:space="preserve"> The court decided that the London account was under the jurisdictions of the English laws and that there existed only a single contract that was also under the governance of the English Laws.</w:t>
      </w:r>
    </w:p>
    <w:p w14:paraId="1A75FEAB" w14:textId="77777777" w:rsidR="00015AD0" w:rsidRPr="00015AD0" w:rsidRDefault="00015AD0" w:rsidP="00015AD0">
      <w:pPr>
        <w:ind w:firstLine="0"/>
        <w:jc w:val="center"/>
        <w:rPr>
          <w:rFonts w:ascii="Times New Roman" w:hAnsi="Times New Roman" w:cs="Times New Roman"/>
          <w:b/>
        </w:rPr>
      </w:pPr>
    </w:p>
    <w:p w14:paraId="3BB79314" w14:textId="77777777" w:rsidR="00015AD0" w:rsidRPr="00015AD0" w:rsidRDefault="00870954" w:rsidP="00262123">
      <w:pPr>
        <w:rPr>
          <w:rFonts w:ascii="Times New Roman" w:hAnsi="Times New Roman" w:cs="Times New Roman"/>
          <w:b/>
        </w:rPr>
      </w:pPr>
      <w:r w:rsidRPr="00015AD0">
        <w:rPr>
          <w:rFonts w:ascii="Times New Roman" w:hAnsi="Times New Roman" w:cs="Times New Roman"/>
          <w:b/>
        </w:rPr>
        <w:lastRenderedPageBreak/>
        <w:t>Analysis</w:t>
      </w:r>
    </w:p>
    <w:p w14:paraId="0C924B03" w14:textId="67656313" w:rsidR="00015AD0" w:rsidRPr="00015AD0" w:rsidRDefault="00870954" w:rsidP="00262123">
      <w:pPr>
        <w:ind w:left="0" w:firstLine="0"/>
        <w:rPr>
          <w:rFonts w:ascii="Times New Roman" w:hAnsi="Times New Roman" w:cs="Times New Roman"/>
        </w:rPr>
      </w:pPr>
      <w:r>
        <w:rPr>
          <w:rFonts w:ascii="Times New Roman" w:hAnsi="Times New Roman" w:cs="Times New Roman"/>
        </w:rPr>
        <w:tab/>
      </w:r>
      <w:r w:rsidR="001A02C6" w:rsidRPr="00015AD0">
        <w:rPr>
          <w:rFonts w:ascii="Times New Roman" w:hAnsi="Times New Roman" w:cs="Times New Roman"/>
        </w:rPr>
        <w:t xml:space="preserve"> The reasoning that was behind the rule was that all banking contracts entered between banks and their customers are entered with the guidance and adherence to the laws of the host country unless specified otherwise in the contract. This reasoning was</w:t>
      </w:r>
      <w:r w:rsidR="00694F33">
        <w:rPr>
          <w:rFonts w:ascii="Times New Roman" w:hAnsi="Times New Roman" w:cs="Times New Roman"/>
        </w:rPr>
        <w:t xml:space="preserve"> also</w:t>
      </w:r>
      <w:r w:rsidR="001A02C6" w:rsidRPr="00015AD0">
        <w:rPr>
          <w:rFonts w:ascii="Times New Roman" w:hAnsi="Times New Roman" w:cs="Times New Roman"/>
        </w:rPr>
        <w:t xml:space="preserve"> supported by preceding case law</w:t>
      </w:r>
      <w:r w:rsidR="00694F33">
        <w:rPr>
          <w:rFonts w:ascii="Times New Roman" w:hAnsi="Times New Roman" w:cs="Times New Roman"/>
        </w:rPr>
        <w:t xml:space="preserve">s i.e. </w:t>
      </w:r>
      <w:r w:rsidR="001A02C6" w:rsidRPr="00015AD0">
        <w:rPr>
          <w:rFonts w:ascii="Times New Roman" w:hAnsi="Times New Roman" w:cs="Times New Roman"/>
        </w:rPr>
        <w:t xml:space="preserve"> </w:t>
      </w:r>
      <w:r w:rsidR="001A02C6" w:rsidRPr="00015AD0">
        <w:rPr>
          <w:rFonts w:ascii="Times New Roman" w:hAnsi="Times New Roman" w:cs="Times New Roman"/>
          <w:i/>
        </w:rPr>
        <w:t xml:space="preserve">R </w:t>
      </w:r>
      <w:r w:rsidR="00694F33">
        <w:rPr>
          <w:rFonts w:ascii="Times New Roman" w:hAnsi="Times New Roman" w:cs="Times New Roman"/>
          <w:i/>
        </w:rPr>
        <w:t xml:space="preserve"> </w:t>
      </w:r>
      <w:r w:rsidR="001A02C6" w:rsidRPr="00015AD0">
        <w:rPr>
          <w:rFonts w:ascii="Times New Roman" w:hAnsi="Times New Roman" w:cs="Times New Roman"/>
          <w:i/>
        </w:rPr>
        <w:t xml:space="preserve">v. Grossman </w:t>
      </w:r>
      <w:r w:rsidR="00694F33">
        <w:rPr>
          <w:rFonts w:ascii="Times New Roman" w:hAnsi="Times New Roman" w:cs="Times New Roman"/>
        </w:rPr>
        <w:t>which had</w:t>
      </w:r>
      <w:r w:rsidR="001A02C6" w:rsidRPr="00015AD0">
        <w:rPr>
          <w:rFonts w:ascii="Times New Roman" w:hAnsi="Times New Roman" w:cs="Times New Roman"/>
        </w:rPr>
        <w:t xml:space="preserve"> held that there is the need to separate the bank branches from head offices especially if they are located in different countries. The rule was therefore relevant and therefore the Banker’s Trust London Branch fell under the jurisdictions of the English law. </w:t>
      </w:r>
    </w:p>
    <w:p w14:paraId="3628701A" w14:textId="77777777" w:rsidR="00015AD0" w:rsidRPr="00015AD0" w:rsidRDefault="00870954" w:rsidP="00262123">
      <w:pPr>
        <w:rPr>
          <w:rFonts w:ascii="Times New Roman" w:hAnsi="Times New Roman" w:cs="Times New Roman"/>
          <w:b/>
        </w:rPr>
      </w:pPr>
      <w:r w:rsidRPr="00015AD0">
        <w:rPr>
          <w:rFonts w:ascii="Times New Roman" w:hAnsi="Times New Roman" w:cs="Times New Roman"/>
          <w:b/>
        </w:rPr>
        <w:t>Conclusion</w:t>
      </w:r>
    </w:p>
    <w:p w14:paraId="48615E93" w14:textId="3796BBBA" w:rsidR="00015AD0" w:rsidRDefault="00870954" w:rsidP="00262123">
      <w:pPr>
        <w:ind w:left="0" w:firstLine="0"/>
        <w:rPr>
          <w:rFonts w:ascii="Times New Roman" w:hAnsi="Times New Roman" w:cs="Times New Roman"/>
        </w:rPr>
      </w:pPr>
      <w:r>
        <w:rPr>
          <w:rFonts w:ascii="Times New Roman" w:hAnsi="Times New Roman" w:cs="Times New Roman"/>
        </w:rPr>
        <w:tab/>
      </w:r>
      <w:r w:rsidR="001A02C6" w:rsidRPr="00015AD0">
        <w:rPr>
          <w:rFonts w:ascii="Times New Roman" w:hAnsi="Times New Roman" w:cs="Times New Roman"/>
        </w:rPr>
        <w:t>In conclusion</w:t>
      </w:r>
      <w:r w:rsidR="00694F33">
        <w:rPr>
          <w:rFonts w:ascii="Times New Roman" w:hAnsi="Times New Roman" w:cs="Times New Roman"/>
        </w:rPr>
        <w:t>,</w:t>
      </w:r>
      <w:r w:rsidR="001A02C6" w:rsidRPr="00015AD0">
        <w:rPr>
          <w:rFonts w:ascii="Times New Roman" w:hAnsi="Times New Roman" w:cs="Times New Roman"/>
        </w:rPr>
        <w:t xml:space="preserve"> upon the examination of the facts, the issue and the rule of the case, it is evident that the rule was relevant to the case and that the pronounced judgment was fair and correct.</w:t>
      </w:r>
    </w:p>
    <w:p w14:paraId="5A761208" w14:textId="77777777" w:rsidR="00015AD0" w:rsidRDefault="00870954" w:rsidP="00015AD0">
      <w:pPr>
        <w:rPr>
          <w:rFonts w:ascii="Times New Roman" w:hAnsi="Times New Roman" w:cs="Times New Roman"/>
        </w:rPr>
      </w:pPr>
      <w:r>
        <w:rPr>
          <w:rFonts w:ascii="Times New Roman" w:hAnsi="Times New Roman" w:cs="Times New Roman"/>
        </w:rPr>
        <w:br w:type="page"/>
      </w:r>
    </w:p>
    <w:p w14:paraId="7E9E9492" w14:textId="77777777" w:rsidR="00015AD0" w:rsidRPr="00015AD0" w:rsidRDefault="00870954" w:rsidP="00015AD0">
      <w:pPr>
        <w:ind w:firstLine="0"/>
        <w:jc w:val="center"/>
        <w:rPr>
          <w:rFonts w:ascii="Times New Roman" w:hAnsi="Times New Roman" w:cs="Times New Roman"/>
          <w:b/>
          <w:sz w:val="24"/>
          <w:szCs w:val="24"/>
        </w:rPr>
      </w:pPr>
      <w:r w:rsidRPr="00015AD0">
        <w:rPr>
          <w:rFonts w:ascii="Times New Roman" w:hAnsi="Times New Roman" w:cs="Times New Roman"/>
          <w:b/>
          <w:sz w:val="24"/>
          <w:szCs w:val="24"/>
        </w:rPr>
        <w:lastRenderedPageBreak/>
        <w:t xml:space="preserve">Japan-Taxes on Alcoholic Beverages, </w:t>
      </w:r>
      <w:r w:rsidRPr="00015AD0">
        <w:rPr>
          <w:rFonts w:ascii="Times New Roman" w:hAnsi="Times New Roman" w:cs="Times New Roman"/>
          <w:b/>
          <w:sz w:val="24"/>
          <w:szCs w:val="24"/>
        </w:rPr>
        <w:t>World Trade Organization, Dispute Settlement Panel, 1998</w:t>
      </w:r>
    </w:p>
    <w:p w14:paraId="24B692D0" w14:textId="77777777" w:rsidR="00015AD0" w:rsidRPr="00015AD0" w:rsidRDefault="00870954" w:rsidP="00262123">
      <w:pPr>
        <w:rPr>
          <w:rFonts w:ascii="Times New Roman" w:hAnsi="Times New Roman" w:cs="Times New Roman"/>
          <w:b/>
          <w:sz w:val="24"/>
          <w:szCs w:val="24"/>
        </w:rPr>
      </w:pPr>
      <w:r w:rsidRPr="00015AD0">
        <w:rPr>
          <w:rFonts w:ascii="Times New Roman" w:hAnsi="Times New Roman" w:cs="Times New Roman"/>
          <w:b/>
          <w:sz w:val="24"/>
          <w:szCs w:val="24"/>
        </w:rPr>
        <w:t>Facts of the case</w:t>
      </w:r>
    </w:p>
    <w:p w14:paraId="0B2AED17" w14:textId="3BA58E2C" w:rsidR="00015AD0" w:rsidRPr="00015AD0" w:rsidRDefault="00870954" w:rsidP="00262123">
      <w:pPr>
        <w:ind w:left="0" w:firstLine="0"/>
        <w:rPr>
          <w:rFonts w:ascii="Times New Roman" w:hAnsi="Times New Roman" w:cs="Times New Roman"/>
          <w:sz w:val="24"/>
          <w:szCs w:val="24"/>
        </w:rPr>
      </w:pPr>
      <w:r w:rsidRPr="00015AD0">
        <w:rPr>
          <w:rFonts w:ascii="Times New Roman" w:hAnsi="Times New Roman" w:cs="Times New Roman"/>
          <w:sz w:val="24"/>
          <w:szCs w:val="24"/>
        </w:rPr>
        <w:tab/>
        <w:t xml:space="preserve">The facts of </w:t>
      </w:r>
      <w:r w:rsidRPr="00015AD0">
        <w:rPr>
          <w:rFonts w:ascii="Times New Roman" w:hAnsi="Times New Roman" w:cs="Times New Roman"/>
          <w:i/>
          <w:sz w:val="24"/>
          <w:szCs w:val="24"/>
        </w:rPr>
        <w:t xml:space="preserve">Japan-Taxes on Alcoholic Beverages, World Trade Organization, Dispute Settlement Panel, 1998 </w:t>
      </w:r>
      <w:r w:rsidRPr="00015AD0">
        <w:rPr>
          <w:rFonts w:ascii="Times New Roman" w:hAnsi="Times New Roman" w:cs="Times New Roman"/>
          <w:sz w:val="24"/>
          <w:szCs w:val="24"/>
        </w:rPr>
        <w:t xml:space="preserve">were concerns raised against Japan for lowering the taxes </w:t>
      </w:r>
      <w:r w:rsidRPr="00015AD0">
        <w:rPr>
          <w:rFonts w:ascii="Times New Roman" w:hAnsi="Times New Roman" w:cs="Times New Roman"/>
          <w:sz w:val="24"/>
          <w:szCs w:val="24"/>
        </w:rPr>
        <w:t>imposed on an alcoholic beverage, Shochu as a competitive strategy. The countries that vo</w:t>
      </w:r>
      <w:r w:rsidR="00694F33">
        <w:rPr>
          <w:rFonts w:ascii="Times New Roman" w:hAnsi="Times New Roman" w:cs="Times New Roman"/>
          <w:sz w:val="24"/>
          <w:szCs w:val="24"/>
        </w:rPr>
        <w:t>iced the</w:t>
      </w:r>
      <w:r w:rsidRPr="00015AD0">
        <w:rPr>
          <w:rFonts w:ascii="Times New Roman" w:hAnsi="Times New Roman" w:cs="Times New Roman"/>
          <w:sz w:val="24"/>
          <w:szCs w:val="24"/>
        </w:rPr>
        <w:t>s</w:t>
      </w:r>
      <w:r w:rsidR="00694F33">
        <w:rPr>
          <w:rFonts w:ascii="Times New Roman" w:hAnsi="Times New Roman" w:cs="Times New Roman"/>
          <w:sz w:val="24"/>
          <w:szCs w:val="24"/>
        </w:rPr>
        <w:t>e</w:t>
      </w:r>
      <w:r w:rsidRPr="00015AD0">
        <w:rPr>
          <w:rFonts w:ascii="Times New Roman" w:hAnsi="Times New Roman" w:cs="Times New Roman"/>
          <w:sz w:val="24"/>
          <w:szCs w:val="24"/>
        </w:rPr>
        <w:t xml:space="preserve"> concerns before the world trade union dispu</w:t>
      </w:r>
      <w:r w:rsidR="008E11C5">
        <w:rPr>
          <w:rFonts w:ascii="Times New Roman" w:hAnsi="Times New Roman" w:cs="Times New Roman"/>
          <w:sz w:val="24"/>
          <w:szCs w:val="24"/>
        </w:rPr>
        <w:t>te settlement panel included United States, members of</w:t>
      </w:r>
      <w:r w:rsidRPr="00015AD0">
        <w:rPr>
          <w:rFonts w:ascii="Times New Roman" w:hAnsi="Times New Roman" w:cs="Times New Roman"/>
          <w:sz w:val="24"/>
          <w:szCs w:val="24"/>
        </w:rPr>
        <w:t xml:space="preserve"> European Union and Canada. </w:t>
      </w:r>
      <w:r w:rsidR="008E11C5">
        <w:rPr>
          <w:rFonts w:ascii="Times New Roman" w:hAnsi="Times New Roman" w:cs="Times New Roman"/>
          <w:sz w:val="24"/>
          <w:szCs w:val="24"/>
        </w:rPr>
        <w:t xml:space="preserve">As a result of </w:t>
      </w:r>
      <w:r w:rsidRPr="00015AD0">
        <w:rPr>
          <w:rFonts w:ascii="Times New Roman" w:hAnsi="Times New Roman" w:cs="Times New Roman"/>
          <w:sz w:val="24"/>
          <w:szCs w:val="24"/>
        </w:rPr>
        <w:t>lowering the taxes japan had acted in violation of the 2</w:t>
      </w:r>
      <w:r w:rsidRPr="00015AD0">
        <w:rPr>
          <w:rFonts w:ascii="Times New Roman" w:hAnsi="Times New Roman" w:cs="Times New Roman"/>
          <w:sz w:val="24"/>
          <w:szCs w:val="24"/>
          <w:vertAlign w:val="superscript"/>
        </w:rPr>
        <w:t>nd</w:t>
      </w:r>
      <w:r w:rsidR="008E11C5">
        <w:rPr>
          <w:rFonts w:ascii="Times New Roman" w:hAnsi="Times New Roman" w:cs="Times New Roman"/>
          <w:sz w:val="24"/>
          <w:szCs w:val="24"/>
        </w:rPr>
        <w:t xml:space="preserve"> section under</w:t>
      </w:r>
      <w:r w:rsidRPr="00015AD0">
        <w:rPr>
          <w:rFonts w:ascii="Times New Roman" w:hAnsi="Times New Roman" w:cs="Times New Roman"/>
          <w:sz w:val="24"/>
          <w:szCs w:val="24"/>
        </w:rPr>
        <w:t xml:space="preserve"> article III of General Agreements on Tariffs and </w:t>
      </w:r>
      <w:r w:rsidR="008E11C5">
        <w:rPr>
          <w:rFonts w:ascii="Times New Roman" w:hAnsi="Times New Roman" w:cs="Times New Roman"/>
          <w:sz w:val="24"/>
          <w:szCs w:val="24"/>
        </w:rPr>
        <w:t xml:space="preserve">Trade </w:t>
      </w:r>
      <w:r w:rsidRPr="00015AD0">
        <w:rPr>
          <w:rFonts w:ascii="Times New Roman" w:hAnsi="Times New Roman" w:cs="Times New Roman"/>
          <w:sz w:val="24"/>
          <w:szCs w:val="24"/>
        </w:rPr>
        <w:t xml:space="preserve">of 1994 as it did not lower taxes for imported alcoholic beverages such as whiskey and vodka. </w:t>
      </w:r>
    </w:p>
    <w:p w14:paraId="20EE7291" w14:textId="32056751" w:rsidR="00015AD0" w:rsidRPr="00015AD0" w:rsidRDefault="00870954" w:rsidP="00262123">
      <w:pPr>
        <w:rPr>
          <w:rFonts w:ascii="Times New Roman" w:hAnsi="Times New Roman" w:cs="Times New Roman"/>
          <w:b/>
          <w:sz w:val="24"/>
          <w:szCs w:val="24"/>
        </w:rPr>
      </w:pPr>
      <w:r>
        <w:rPr>
          <w:rFonts w:ascii="Times New Roman" w:hAnsi="Times New Roman" w:cs="Times New Roman"/>
          <w:b/>
          <w:sz w:val="24"/>
          <w:szCs w:val="24"/>
        </w:rPr>
        <w:t>Issues of the case</w:t>
      </w:r>
    </w:p>
    <w:p w14:paraId="76ADDB25" w14:textId="77777777" w:rsidR="00015AD0" w:rsidRPr="00015AD0" w:rsidRDefault="00870954" w:rsidP="00015AD0">
      <w:pPr>
        <w:numPr>
          <w:ilvl w:val="0"/>
          <w:numId w:val="1"/>
        </w:numPr>
        <w:contextualSpacing/>
        <w:rPr>
          <w:rFonts w:ascii="Times New Roman" w:hAnsi="Times New Roman" w:cs="Times New Roman"/>
          <w:sz w:val="24"/>
          <w:szCs w:val="24"/>
        </w:rPr>
      </w:pPr>
      <w:r w:rsidRPr="00015AD0">
        <w:rPr>
          <w:rFonts w:ascii="Times New Roman" w:hAnsi="Times New Roman" w:cs="Times New Roman"/>
          <w:sz w:val="24"/>
          <w:szCs w:val="24"/>
        </w:rPr>
        <w:t>Whether shochu a local alcoholic beverage fel</w:t>
      </w:r>
      <w:r>
        <w:rPr>
          <w:rFonts w:ascii="Times New Roman" w:hAnsi="Times New Roman" w:cs="Times New Roman"/>
          <w:sz w:val="24"/>
          <w:szCs w:val="24"/>
        </w:rPr>
        <w:t>l under the same class as vodka.</w:t>
      </w:r>
    </w:p>
    <w:p w14:paraId="06BD1CAC" w14:textId="49E770F9" w:rsidR="00015AD0" w:rsidRPr="00015AD0" w:rsidRDefault="00870954" w:rsidP="00015AD0">
      <w:pPr>
        <w:numPr>
          <w:ilvl w:val="0"/>
          <w:numId w:val="1"/>
        </w:numPr>
        <w:contextualSpacing/>
        <w:rPr>
          <w:rFonts w:ascii="Times New Roman" w:hAnsi="Times New Roman" w:cs="Times New Roman"/>
          <w:sz w:val="24"/>
          <w:szCs w:val="24"/>
        </w:rPr>
      </w:pPr>
      <w:r w:rsidRPr="00015AD0">
        <w:rPr>
          <w:rFonts w:ascii="Times New Roman" w:hAnsi="Times New Roman" w:cs="Times New Roman"/>
          <w:sz w:val="24"/>
          <w:szCs w:val="24"/>
        </w:rPr>
        <w:t>Whether imported alcoholic beverages in Japan faced</w:t>
      </w:r>
      <w:r w:rsidRPr="00015AD0">
        <w:rPr>
          <w:rFonts w:ascii="Times New Roman" w:hAnsi="Times New Roman" w:cs="Times New Roman"/>
          <w:sz w:val="24"/>
          <w:szCs w:val="24"/>
        </w:rPr>
        <w:t xml:space="preserve"> taxes th</w:t>
      </w:r>
      <w:r w:rsidR="00694F33">
        <w:rPr>
          <w:rFonts w:ascii="Times New Roman" w:hAnsi="Times New Roman" w:cs="Times New Roman"/>
          <w:sz w:val="24"/>
          <w:szCs w:val="24"/>
        </w:rPr>
        <w:t xml:space="preserve">at were in excess when compared </w:t>
      </w:r>
      <w:r w:rsidRPr="00015AD0">
        <w:rPr>
          <w:rFonts w:ascii="Times New Roman" w:hAnsi="Times New Roman" w:cs="Times New Roman"/>
          <w:sz w:val="24"/>
          <w:szCs w:val="24"/>
        </w:rPr>
        <w:t>to the t</w:t>
      </w:r>
      <w:r w:rsidR="00694F33">
        <w:rPr>
          <w:rFonts w:ascii="Times New Roman" w:hAnsi="Times New Roman" w:cs="Times New Roman"/>
          <w:sz w:val="24"/>
          <w:szCs w:val="24"/>
        </w:rPr>
        <w:t xml:space="preserve">ax imposed on Shochu as per </w:t>
      </w:r>
      <w:r w:rsidRPr="00015AD0">
        <w:rPr>
          <w:rFonts w:ascii="Times New Roman" w:hAnsi="Times New Roman" w:cs="Times New Roman"/>
          <w:sz w:val="24"/>
          <w:szCs w:val="24"/>
        </w:rPr>
        <w:t>Japanese liquor taxation laws</w:t>
      </w:r>
      <w:r>
        <w:rPr>
          <w:rFonts w:ascii="Times New Roman" w:hAnsi="Times New Roman" w:cs="Times New Roman"/>
          <w:sz w:val="24"/>
          <w:szCs w:val="24"/>
        </w:rPr>
        <w:t>.</w:t>
      </w:r>
    </w:p>
    <w:p w14:paraId="5B33A65A" w14:textId="77777777" w:rsidR="00262123" w:rsidRDefault="00870954" w:rsidP="00262123">
      <w:pPr>
        <w:rPr>
          <w:rFonts w:ascii="Times New Roman" w:hAnsi="Times New Roman" w:cs="Times New Roman"/>
          <w:b/>
          <w:sz w:val="24"/>
          <w:szCs w:val="24"/>
        </w:rPr>
      </w:pPr>
      <w:r w:rsidRPr="00015AD0">
        <w:rPr>
          <w:rFonts w:ascii="Times New Roman" w:hAnsi="Times New Roman" w:cs="Times New Roman"/>
          <w:b/>
          <w:sz w:val="24"/>
          <w:szCs w:val="24"/>
        </w:rPr>
        <w:t>Rule</w:t>
      </w:r>
    </w:p>
    <w:p w14:paraId="0F1EC9DA" w14:textId="6781B983" w:rsidR="00015AD0" w:rsidRPr="00262123" w:rsidRDefault="00870954" w:rsidP="00262123">
      <w:pPr>
        <w:ind w:left="0" w:firstLine="0"/>
        <w:rPr>
          <w:rFonts w:ascii="Times New Roman" w:hAnsi="Times New Roman" w:cs="Times New Roman"/>
          <w:b/>
          <w:sz w:val="24"/>
          <w:szCs w:val="24"/>
        </w:rPr>
      </w:pPr>
      <w:r w:rsidRPr="00015AD0">
        <w:rPr>
          <w:rFonts w:ascii="Times New Roman" w:hAnsi="Times New Roman" w:cs="Times New Roman"/>
          <w:sz w:val="24"/>
          <w:szCs w:val="24"/>
        </w:rPr>
        <w:tab/>
        <w:t>The world trade organization dispute settlement panel ruled that vodka fell under the same class of alcoholic beverages as shochu. However, ot</w:t>
      </w:r>
      <w:r w:rsidRPr="00015AD0">
        <w:rPr>
          <w:rFonts w:ascii="Times New Roman" w:hAnsi="Times New Roman" w:cs="Times New Roman"/>
          <w:sz w:val="24"/>
          <w:szCs w:val="24"/>
        </w:rPr>
        <w:t>her alcoholic beverages such as champagne, whiskey and cognac were substitutes for the local made Japanese beverage, shacho.  It was therefore apparent that vodka was being taxed excessively compared to shochu despite the two drinks belong to the same alco</w:t>
      </w:r>
      <w:r w:rsidRPr="00015AD0">
        <w:rPr>
          <w:rFonts w:ascii="Times New Roman" w:hAnsi="Times New Roman" w:cs="Times New Roman"/>
          <w:sz w:val="24"/>
          <w:szCs w:val="24"/>
        </w:rPr>
        <w:t>holic class.</w:t>
      </w:r>
    </w:p>
    <w:p w14:paraId="4AAC93C8" w14:textId="77777777" w:rsidR="00015AD0" w:rsidRPr="00015AD0" w:rsidRDefault="00870954" w:rsidP="00262123">
      <w:pPr>
        <w:rPr>
          <w:rFonts w:ascii="Times New Roman" w:hAnsi="Times New Roman" w:cs="Times New Roman"/>
          <w:b/>
          <w:sz w:val="24"/>
          <w:szCs w:val="24"/>
        </w:rPr>
      </w:pPr>
      <w:r w:rsidRPr="00015AD0">
        <w:rPr>
          <w:rFonts w:ascii="Times New Roman" w:hAnsi="Times New Roman" w:cs="Times New Roman"/>
          <w:b/>
          <w:sz w:val="24"/>
          <w:szCs w:val="24"/>
        </w:rPr>
        <w:t>Analysis</w:t>
      </w:r>
    </w:p>
    <w:p w14:paraId="59AE4EB3" w14:textId="2078B8A8" w:rsidR="00015AD0" w:rsidRPr="00015AD0" w:rsidRDefault="00870954" w:rsidP="00015AD0">
      <w:pPr>
        <w:ind w:left="360" w:firstLine="0"/>
        <w:rPr>
          <w:rFonts w:ascii="Times New Roman" w:hAnsi="Times New Roman" w:cs="Times New Roman"/>
          <w:sz w:val="24"/>
          <w:szCs w:val="24"/>
        </w:rPr>
      </w:pPr>
      <w:r w:rsidRPr="00015AD0">
        <w:rPr>
          <w:rFonts w:ascii="Times New Roman" w:hAnsi="Times New Roman" w:cs="Times New Roman"/>
          <w:sz w:val="24"/>
          <w:szCs w:val="24"/>
        </w:rPr>
        <w:lastRenderedPageBreak/>
        <w:tab/>
        <w:t>Che</w:t>
      </w:r>
      <w:r w:rsidR="00694F33">
        <w:rPr>
          <w:rFonts w:ascii="Times New Roman" w:hAnsi="Times New Roman" w:cs="Times New Roman"/>
          <w:sz w:val="24"/>
          <w:szCs w:val="24"/>
        </w:rPr>
        <w:t>mically shochu and vodka have</w:t>
      </w:r>
      <w:r w:rsidRPr="00015AD0">
        <w:rPr>
          <w:rFonts w:ascii="Times New Roman" w:hAnsi="Times New Roman" w:cs="Times New Roman"/>
          <w:sz w:val="24"/>
          <w:szCs w:val="24"/>
        </w:rPr>
        <w:t xml:space="preserve"> almost the same characteristics especially when it comes to alcohol content and chemical composition. It was, therefore, only a matter of logic to classify vodka and shochu as similar alcoholic drinks</w:t>
      </w:r>
      <w:r w:rsidRPr="00015AD0">
        <w:rPr>
          <w:rFonts w:ascii="Times New Roman" w:hAnsi="Times New Roman" w:cs="Times New Roman"/>
          <w:sz w:val="24"/>
          <w:szCs w:val="24"/>
        </w:rPr>
        <w:t xml:space="preserve">. Given this classification vodka and Shacho in Japan should have been subject to similar tax rates contrary to the evidence that showed that Japan imposed higher taxes on vodka.  </w:t>
      </w:r>
    </w:p>
    <w:p w14:paraId="1BE16DCF" w14:textId="77777777" w:rsidR="00015AD0" w:rsidRPr="00015AD0" w:rsidRDefault="00870954" w:rsidP="001477B9">
      <w:pPr>
        <w:ind w:left="360" w:firstLine="0"/>
        <w:rPr>
          <w:rFonts w:ascii="Times New Roman" w:hAnsi="Times New Roman" w:cs="Times New Roman"/>
          <w:b/>
          <w:sz w:val="24"/>
          <w:szCs w:val="24"/>
        </w:rPr>
      </w:pPr>
      <w:r w:rsidRPr="00015AD0">
        <w:rPr>
          <w:rFonts w:ascii="Times New Roman" w:hAnsi="Times New Roman" w:cs="Times New Roman"/>
          <w:b/>
          <w:sz w:val="24"/>
          <w:szCs w:val="24"/>
        </w:rPr>
        <w:t>Conclusion</w:t>
      </w:r>
    </w:p>
    <w:p w14:paraId="323E6A1A" w14:textId="6ABFB0C2" w:rsidR="00015AD0" w:rsidRDefault="00870954" w:rsidP="00015AD0">
      <w:pPr>
        <w:ind w:left="360" w:firstLine="0"/>
        <w:rPr>
          <w:rFonts w:ascii="Times New Roman" w:hAnsi="Times New Roman" w:cs="Times New Roman"/>
          <w:sz w:val="24"/>
          <w:szCs w:val="24"/>
        </w:rPr>
      </w:pPr>
      <w:r w:rsidRPr="00015AD0">
        <w:rPr>
          <w:rFonts w:ascii="Times New Roman" w:hAnsi="Times New Roman" w:cs="Times New Roman"/>
          <w:sz w:val="24"/>
          <w:szCs w:val="24"/>
        </w:rPr>
        <w:t xml:space="preserve"> </w:t>
      </w:r>
      <w:r w:rsidR="00262123">
        <w:rPr>
          <w:rFonts w:ascii="Times New Roman" w:hAnsi="Times New Roman" w:cs="Times New Roman"/>
          <w:sz w:val="24"/>
          <w:szCs w:val="24"/>
        </w:rPr>
        <w:tab/>
      </w:r>
      <w:r w:rsidRPr="00015AD0">
        <w:rPr>
          <w:rFonts w:ascii="Times New Roman" w:hAnsi="Times New Roman" w:cs="Times New Roman"/>
          <w:sz w:val="24"/>
          <w:szCs w:val="24"/>
        </w:rPr>
        <w:t>Yes, the rule applied was relevant and correct. It was evident</w:t>
      </w:r>
      <w:r w:rsidRPr="00015AD0">
        <w:rPr>
          <w:rFonts w:ascii="Times New Roman" w:hAnsi="Times New Roman" w:cs="Times New Roman"/>
          <w:sz w:val="24"/>
          <w:szCs w:val="24"/>
        </w:rPr>
        <w:t xml:space="preserve"> that Japan by imposing the excess tax on vodka had contravened the 2</w:t>
      </w:r>
      <w:r w:rsidRPr="00015AD0">
        <w:rPr>
          <w:rFonts w:ascii="Times New Roman" w:hAnsi="Times New Roman" w:cs="Times New Roman"/>
          <w:sz w:val="24"/>
          <w:szCs w:val="24"/>
          <w:vertAlign w:val="superscript"/>
        </w:rPr>
        <w:t>nd</w:t>
      </w:r>
      <w:r w:rsidR="00694F33">
        <w:rPr>
          <w:rFonts w:ascii="Times New Roman" w:hAnsi="Times New Roman" w:cs="Times New Roman"/>
          <w:sz w:val="24"/>
          <w:szCs w:val="24"/>
        </w:rPr>
        <w:t xml:space="preserve"> section of article III of</w:t>
      </w:r>
      <w:r w:rsidRPr="00015AD0">
        <w:rPr>
          <w:rFonts w:ascii="Times New Roman" w:hAnsi="Times New Roman" w:cs="Times New Roman"/>
          <w:sz w:val="24"/>
          <w:szCs w:val="24"/>
        </w:rPr>
        <w:t xml:space="preserve"> GATT (1994).</w:t>
      </w:r>
    </w:p>
    <w:p w14:paraId="21F91E15" w14:textId="77777777" w:rsidR="00015AD0" w:rsidRDefault="00870954">
      <w:pPr>
        <w:rPr>
          <w:rFonts w:ascii="Times New Roman" w:hAnsi="Times New Roman" w:cs="Times New Roman"/>
          <w:sz w:val="24"/>
          <w:szCs w:val="24"/>
        </w:rPr>
      </w:pPr>
      <w:r>
        <w:rPr>
          <w:rFonts w:ascii="Times New Roman" w:hAnsi="Times New Roman" w:cs="Times New Roman"/>
          <w:sz w:val="24"/>
          <w:szCs w:val="24"/>
        </w:rPr>
        <w:br w:type="page"/>
      </w:r>
    </w:p>
    <w:p w14:paraId="6D03DA3A" w14:textId="77777777" w:rsidR="001477B9" w:rsidRPr="001477B9" w:rsidRDefault="00870954" w:rsidP="001477B9">
      <w:pPr>
        <w:jc w:val="center"/>
        <w:rPr>
          <w:rFonts w:ascii="Times New Roman" w:hAnsi="Times New Roman" w:cs="Times New Roman"/>
          <w:b/>
          <w:sz w:val="24"/>
          <w:szCs w:val="24"/>
        </w:rPr>
      </w:pPr>
      <w:r w:rsidRPr="001477B9">
        <w:rPr>
          <w:rFonts w:ascii="Times New Roman" w:hAnsi="Times New Roman" w:cs="Times New Roman"/>
          <w:b/>
          <w:sz w:val="24"/>
          <w:szCs w:val="24"/>
        </w:rPr>
        <w:lastRenderedPageBreak/>
        <w:t>Monsanto Co v. Coramandal Indag Products, (P) Ltd.</w:t>
      </w:r>
    </w:p>
    <w:p w14:paraId="47D7D1AA" w14:textId="77777777" w:rsidR="001477B9" w:rsidRDefault="00870954" w:rsidP="001477B9">
      <w:pPr>
        <w:tabs>
          <w:tab w:val="left" w:pos="2786"/>
        </w:tabs>
        <w:rPr>
          <w:rFonts w:ascii="Times New Roman" w:hAnsi="Times New Roman" w:cs="Times New Roman"/>
          <w:b/>
          <w:sz w:val="24"/>
          <w:szCs w:val="24"/>
        </w:rPr>
      </w:pPr>
      <w:r>
        <w:rPr>
          <w:rFonts w:ascii="Times New Roman" w:hAnsi="Times New Roman" w:cs="Times New Roman"/>
          <w:b/>
          <w:sz w:val="24"/>
          <w:szCs w:val="24"/>
        </w:rPr>
        <w:t>Facts of the case</w:t>
      </w:r>
    </w:p>
    <w:p w14:paraId="3D93447E" w14:textId="557A5A2D" w:rsidR="001477B9" w:rsidRPr="00DB1F79" w:rsidRDefault="00870954" w:rsidP="00262123">
      <w:pPr>
        <w:tabs>
          <w:tab w:val="left" w:pos="2786"/>
        </w:tabs>
        <w:ind w:left="0" w:firstLine="720"/>
        <w:rPr>
          <w:rFonts w:ascii="Times New Roman" w:hAnsi="Times New Roman" w:cs="Times New Roman"/>
          <w:sz w:val="24"/>
          <w:szCs w:val="24"/>
        </w:rPr>
      </w:pPr>
      <w:r w:rsidRPr="00DB1F79">
        <w:rPr>
          <w:rFonts w:ascii="Times New Roman" w:hAnsi="Times New Roman" w:cs="Times New Roman"/>
          <w:sz w:val="24"/>
          <w:szCs w:val="24"/>
        </w:rPr>
        <w:t xml:space="preserve">The case </w:t>
      </w:r>
      <w:r w:rsidRPr="00DB1F79">
        <w:rPr>
          <w:rFonts w:ascii="Times New Roman" w:hAnsi="Times New Roman" w:cs="Times New Roman"/>
          <w:i/>
          <w:sz w:val="24"/>
          <w:szCs w:val="24"/>
        </w:rPr>
        <w:t>Monsanto Co v. Cor</w:t>
      </w:r>
      <w:r>
        <w:rPr>
          <w:rFonts w:ascii="Times New Roman" w:hAnsi="Times New Roman" w:cs="Times New Roman"/>
          <w:i/>
          <w:sz w:val="24"/>
          <w:szCs w:val="24"/>
        </w:rPr>
        <w:t xml:space="preserve">amandal Indag Products, (P) Ltd </w:t>
      </w:r>
      <w:r>
        <w:rPr>
          <w:rFonts w:ascii="Times New Roman" w:hAnsi="Times New Roman" w:cs="Times New Roman"/>
          <w:sz w:val="24"/>
          <w:szCs w:val="24"/>
        </w:rPr>
        <w:t>was presented b</w:t>
      </w:r>
      <w:r>
        <w:rPr>
          <w:rFonts w:ascii="Times New Roman" w:hAnsi="Times New Roman" w:cs="Times New Roman"/>
          <w:sz w:val="24"/>
          <w:szCs w:val="24"/>
        </w:rPr>
        <w:t>efore the Indian Supreme Court in 1989. The plaintiff in the case was the Monsanto Company together with it’s an Indian subsidiary versus the Coramandal</w:t>
      </w:r>
      <w:r w:rsidRPr="00C95B29">
        <w:rPr>
          <w:rFonts w:ascii="Times New Roman" w:hAnsi="Times New Roman" w:cs="Times New Roman"/>
          <w:sz w:val="24"/>
          <w:szCs w:val="24"/>
        </w:rPr>
        <w:t xml:space="preserve"> Indag Products</w:t>
      </w:r>
      <w:r>
        <w:rPr>
          <w:rFonts w:ascii="Times New Roman" w:hAnsi="Times New Roman" w:cs="Times New Roman"/>
          <w:sz w:val="24"/>
          <w:szCs w:val="24"/>
        </w:rPr>
        <w:t xml:space="preserve"> limited. The plaintiff claimed to be the patent owners of an invention known as the phytotoxic composition and a herbicide that was plant and grass selective whose main ingredient was known as Butachlor. In their claim, the plaintiffs in the case presente</w:t>
      </w:r>
      <w:r>
        <w:rPr>
          <w:rFonts w:ascii="Times New Roman" w:hAnsi="Times New Roman" w:cs="Times New Roman"/>
          <w:sz w:val="24"/>
          <w:szCs w:val="24"/>
        </w:rPr>
        <w:t xml:space="preserve">d before the Supreme Court the plaintiffs that the respondent, </w:t>
      </w:r>
      <w:r w:rsidRPr="005E4070">
        <w:rPr>
          <w:rFonts w:ascii="Times New Roman" w:hAnsi="Times New Roman" w:cs="Times New Roman"/>
          <w:sz w:val="24"/>
          <w:szCs w:val="24"/>
        </w:rPr>
        <w:t>Co</w:t>
      </w:r>
      <w:r>
        <w:rPr>
          <w:rFonts w:ascii="Times New Roman" w:hAnsi="Times New Roman" w:cs="Times New Roman"/>
          <w:sz w:val="24"/>
          <w:szCs w:val="24"/>
        </w:rPr>
        <w:t>ramandal Indag Products (P) Ltd, was violating laws relating to patents by trying to market products with products which it did not own. In their defense, the respondent claimed that the pate</w:t>
      </w:r>
      <w:r>
        <w:rPr>
          <w:rFonts w:ascii="Times New Roman" w:hAnsi="Times New Roman" w:cs="Times New Roman"/>
          <w:sz w:val="24"/>
          <w:szCs w:val="24"/>
        </w:rPr>
        <w:t xml:space="preserve">nts in question were subject to be revoked  </w:t>
      </w:r>
    </w:p>
    <w:p w14:paraId="5F669EBA" w14:textId="77777777" w:rsidR="00262123" w:rsidRDefault="00870954" w:rsidP="00262123">
      <w:pPr>
        <w:tabs>
          <w:tab w:val="left" w:pos="2786"/>
        </w:tabs>
        <w:rPr>
          <w:rFonts w:ascii="Times New Roman" w:hAnsi="Times New Roman" w:cs="Times New Roman"/>
          <w:b/>
          <w:sz w:val="24"/>
          <w:szCs w:val="24"/>
        </w:rPr>
      </w:pPr>
      <w:r>
        <w:rPr>
          <w:rFonts w:ascii="Times New Roman" w:hAnsi="Times New Roman" w:cs="Times New Roman"/>
          <w:b/>
          <w:sz w:val="24"/>
          <w:szCs w:val="24"/>
        </w:rPr>
        <w:t>Issues of the case</w:t>
      </w:r>
    </w:p>
    <w:p w14:paraId="675EE376" w14:textId="16C5D222" w:rsidR="00262123" w:rsidRPr="00262123" w:rsidRDefault="00870954" w:rsidP="00262123">
      <w:pPr>
        <w:pStyle w:val="ListParagraph"/>
        <w:numPr>
          <w:ilvl w:val="0"/>
          <w:numId w:val="3"/>
        </w:numPr>
        <w:tabs>
          <w:tab w:val="left" w:pos="2786"/>
        </w:tabs>
        <w:rPr>
          <w:rFonts w:ascii="Times New Roman" w:hAnsi="Times New Roman" w:cs="Times New Roman"/>
          <w:b/>
          <w:sz w:val="24"/>
          <w:szCs w:val="24"/>
        </w:rPr>
      </w:pPr>
      <w:r w:rsidRPr="00262123">
        <w:rPr>
          <w:rFonts w:ascii="Times New Roman" w:hAnsi="Times New Roman" w:cs="Times New Roman"/>
          <w:sz w:val="24"/>
          <w:szCs w:val="24"/>
        </w:rPr>
        <w:t>Th</w:t>
      </w:r>
      <w:r w:rsidR="008E11C5">
        <w:rPr>
          <w:rFonts w:ascii="Times New Roman" w:hAnsi="Times New Roman" w:cs="Times New Roman"/>
          <w:sz w:val="24"/>
          <w:szCs w:val="24"/>
        </w:rPr>
        <w:t>e first issue that arose during</w:t>
      </w:r>
      <w:r w:rsidRPr="00262123">
        <w:rPr>
          <w:rFonts w:ascii="Times New Roman" w:hAnsi="Times New Roman" w:cs="Times New Roman"/>
          <w:i/>
          <w:sz w:val="24"/>
          <w:szCs w:val="24"/>
        </w:rPr>
        <w:t xml:space="preserve"> Monsanto Co v. Coramandal Indag Products, (P) Ltd </w:t>
      </w:r>
      <w:r w:rsidRPr="00262123">
        <w:rPr>
          <w:rFonts w:ascii="Times New Roman" w:hAnsi="Times New Roman" w:cs="Times New Roman"/>
          <w:sz w:val="24"/>
          <w:szCs w:val="24"/>
        </w:rPr>
        <w:t xml:space="preserve"> </w:t>
      </w:r>
      <w:r w:rsidR="008E11C5">
        <w:rPr>
          <w:rFonts w:ascii="Times New Roman" w:hAnsi="Times New Roman" w:cs="Times New Roman"/>
          <w:sz w:val="24"/>
          <w:szCs w:val="24"/>
        </w:rPr>
        <w:t xml:space="preserve">case </w:t>
      </w:r>
      <w:r w:rsidRPr="00262123">
        <w:rPr>
          <w:rFonts w:ascii="Times New Roman" w:hAnsi="Times New Roman" w:cs="Times New Roman"/>
          <w:sz w:val="24"/>
          <w:szCs w:val="24"/>
        </w:rPr>
        <w:t xml:space="preserve">was trying to determine whether either of the parties involved in the case had valid patents for </w:t>
      </w:r>
      <w:r w:rsidRPr="00262123">
        <w:rPr>
          <w:rFonts w:ascii="Times New Roman" w:hAnsi="Times New Roman" w:cs="Times New Roman"/>
          <w:sz w:val="24"/>
          <w:szCs w:val="24"/>
        </w:rPr>
        <w:t>Butachlor</w:t>
      </w:r>
    </w:p>
    <w:p w14:paraId="17EC691E" w14:textId="3E4910CA" w:rsidR="001477B9" w:rsidRPr="00262123" w:rsidRDefault="00870954" w:rsidP="00262123">
      <w:pPr>
        <w:pStyle w:val="ListParagraph"/>
        <w:numPr>
          <w:ilvl w:val="0"/>
          <w:numId w:val="3"/>
        </w:numPr>
        <w:tabs>
          <w:tab w:val="left" w:pos="2786"/>
        </w:tabs>
        <w:rPr>
          <w:rFonts w:ascii="Times New Roman" w:hAnsi="Times New Roman" w:cs="Times New Roman"/>
          <w:b/>
          <w:sz w:val="24"/>
          <w:szCs w:val="24"/>
        </w:rPr>
      </w:pPr>
      <w:r w:rsidRPr="00262123">
        <w:rPr>
          <w:rFonts w:ascii="Times New Roman" w:hAnsi="Times New Roman" w:cs="Times New Roman"/>
          <w:sz w:val="24"/>
          <w:szCs w:val="24"/>
        </w:rPr>
        <w:t>The second issue was to determine if the respondent had infringed the patent rights of the plaintiff.</w:t>
      </w:r>
    </w:p>
    <w:p w14:paraId="63895054" w14:textId="77777777" w:rsidR="001477B9" w:rsidRDefault="00870954" w:rsidP="00262123">
      <w:pPr>
        <w:tabs>
          <w:tab w:val="left" w:pos="2786"/>
        </w:tabs>
        <w:rPr>
          <w:rFonts w:ascii="Times New Roman" w:hAnsi="Times New Roman" w:cs="Times New Roman"/>
          <w:b/>
          <w:sz w:val="24"/>
          <w:szCs w:val="24"/>
        </w:rPr>
      </w:pPr>
      <w:r>
        <w:rPr>
          <w:rFonts w:ascii="Times New Roman" w:hAnsi="Times New Roman" w:cs="Times New Roman"/>
          <w:b/>
          <w:sz w:val="24"/>
          <w:szCs w:val="24"/>
        </w:rPr>
        <w:t>Rule</w:t>
      </w:r>
    </w:p>
    <w:p w14:paraId="25DB9BB5" w14:textId="48A33320" w:rsidR="001477B9" w:rsidRDefault="00870954" w:rsidP="00262123">
      <w:pPr>
        <w:tabs>
          <w:tab w:val="left" w:pos="2786"/>
        </w:tabs>
        <w:ind w:left="0" w:firstLine="720"/>
        <w:rPr>
          <w:rFonts w:ascii="Times New Roman" w:hAnsi="Times New Roman" w:cs="Times New Roman"/>
          <w:sz w:val="24"/>
          <w:szCs w:val="24"/>
        </w:rPr>
      </w:pPr>
      <w:r>
        <w:rPr>
          <w:rFonts w:ascii="Times New Roman" w:hAnsi="Times New Roman" w:cs="Times New Roman"/>
          <w:sz w:val="24"/>
          <w:szCs w:val="24"/>
        </w:rPr>
        <w:t xml:space="preserve">The Indian </w:t>
      </w:r>
      <w:r w:rsidR="00262123">
        <w:rPr>
          <w:rFonts w:ascii="Times New Roman" w:hAnsi="Times New Roman" w:cs="Times New Roman"/>
          <w:sz w:val="24"/>
          <w:szCs w:val="24"/>
        </w:rPr>
        <w:t>Supreme Court</w:t>
      </w:r>
      <w:r>
        <w:rPr>
          <w:rFonts w:ascii="Times New Roman" w:hAnsi="Times New Roman" w:cs="Times New Roman"/>
          <w:sz w:val="24"/>
          <w:szCs w:val="24"/>
        </w:rPr>
        <w:t xml:space="preserve"> held that neither the plaintiff nor the </w:t>
      </w:r>
      <w:r w:rsidR="00262123">
        <w:rPr>
          <w:rFonts w:ascii="Times New Roman" w:hAnsi="Times New Roman" w:cs="Times New Roman"/>
          <w:sz w:val="24"/>
          <w:szCs w:val="24"/>
        </w:rPr>
        <w:t xml:space="preserve">respondent had the patent rights </w:t>
      </w:r>
      <w:r>
        <w:rPr>
          <w:rFonts w:ascii="Times New Roman" w:hAnsi="Times New Roman" w:cs="Times New Roman"/>
          <w:sz w:val="24"/>
          <w:szCs w:val="24"/>
        </w:rPr>
        <w:t>for butachlor. Following this determinati</w:t>
      </w:r>
      <w:r>
        <w:rPr>
          <w:rFonts w:ascii="Times New Roman" w:hAnsi="Times New Roman" w:cs="Times New Roman"/>
          <w:sz w:val="24"/>
          <w:szCs w:val="24"/>
        </w:rPr>
        <w:t>on, there was no way the respondent could have infringed the rights of the plaintiff since the plaintiff did not own the patent rights. The rule was based on the Patents Act of 1970.</w:t>
      </w:r>
    </w:p>
    <w:p w14:paraId="62397D6A" w14:textId="77777777" w:rsidR="001477B9" w:rsidRDefault="00870954" w:rsidP="00262123">
      <w:pPr>
        <w:tabs>
          <w:tab w:val="left" w:pos="2786"/>
        </w:tabs>
        <w:rPr>
          <w:rFonts w:ascii="Times New Roman" w:hAnsi="Times New Roman" w:cs="Times New Roman"/>
          <w:b/>
          <w:sz w:val="24"/>
          <w:szCs w:val="24"/>
        </w:rPr>
      </w:pPr>
      <w:r w:rsidRPr="00A81CD6">
        <w:rPr>
          <w:rFonts w:ascii="Times New Roman" w:hAnsi="Times New Roman" w:cs="Times New Roman"/>
          <w:b/>
          <w:sz w:val="24"/>
          <w:szCs w:val="24"/>
        </w:rPr>
        <w:lastRenderedPageBreak/>
        <w:t>Analysis</w:t>
      </w:r>
    </w:p>
    <w:p w14:paraId="528D2F89" w14:textId="113E6924" w:rsidR="001477B9" w:rsidRDefault="00870954" w:rsidP="00262123">
      <w:pPr>
        <w:tabs>
          <w:tab w:val="left" w:pos="2786"/>
        </w:tabs>
        <w:ind w:left="0" w:firstLine="720"/>
        <w:rPr>
          <w:rFonts w:ascii="Times New Roman" w:hAnsi="Times New Roman" w:cs="Times New Roman"/>
          <w:sz w:val="24"/>
          <w:szCs w:val="24"/>
        </w:rPr>
      </w:pPr>
      <w:r w:rsidRPr="00A81CD6">
        <w:rPr>
          <w:rFonts w:ascii="Times New Roman" w:hAnsi="Times New Roman" w:cs="Times New Roman"/>
          <w:sz w:val="24"/>
          <w:szCs w:val="24"/>
        </w:rPr>
        <w:t xml:space="preserve">After </w:t>
      </w:r>
      <w:r>
        <w:rPr>
          <w:rFonts w:ascii="Times New Roman" w:hAnsi="Times New Roman" w:cs="Times New Roman"/>
          <w:sz w:val="24"/>
          <w:szCs w:val="24"/>
        </w:rPr>
        <w:t xml:space="preserve">a careful evaluation of the facts of the case and the </w:t>
      </w:r>
      <w:r>
        <w:rPr>
          <w:rFonts w:ascii="Times New Roman" w:hAnsi="Times New Roman" w:cs="Times New Roman"/>
          <w:sz w:val="24"/>
          <w:szCs w:val="24"/>
        </w:rPr>
        <w:t xml:space="preserve">submission made by the plaintiffs and the respondent, I concur with the ruling made by the supreme court of India. Patent regulations in India are governed by section 64 of the Patents Act (1970). And according to the Act, a patent can be revoked if it is </w:t>
      </w:r>
      <w:r>
        <w:rPr>
          <w:rFonts w:ascii="Times New Roman" w:hAnsi="Times New Roman" w:cs="Times New Roman"/>
          <w:sz w:val="24"/>
          <w:szCs w:val="24"/>
        </w:rPr>
        <w:t>proved that the patent holder was not the inventor of a product or intellectual property as in the case of Monsanto Company.</w:t>
      </w:r>
    </w:p>
    <w:p w14:paraId="1714A7E1" w14:textId="77777777" w:rsidR="00262123" w:rsidRDefault="00870954" w:rsidP="00262123">
      <w:pPr>
        <w:tabs>
          <w:tab w:val="left" w:pos="2786"/>
        </w:tabs>
        <w:rPr>
          <w:rFonts w:ascii="Times New Roman" w:hAnsi="Times New Roman" w:cs="Times New Roman"/>
          <w:b/>
          <w:sz w:val="24"/>
          <w:szCs w:val="24"/>
        </w:rPr>
      </w:pPr>
      <w:r w:rsidRPr="00AF7C6C">
        <w:rPr>
          <w:rFonts w:ascii="Times New Roman" w:hAnsi="Times New Roman" w:cs="Times New Roman"/>
          <w:b/>
          <w:sz w:val="24"/>
          <w:szCs w:val="24"/>
        </w:rPr>
        <w:t>Conclusion</w:t>
      </w:r>
    </w:p>
    <w:p w14:paraId="6D0219EA" w14:textId="787F5ACB" w:rsidR="001477B9" w:rsidRPr="00262123" w:rsidRDefault="008E11C5" w:rsidP="00262123">
      <w:pPr>
        <w:tabs>
          <w:tab w:val="left" w:pos="2786"/>
        </w:tabs>
        <w:ind w:left="0" w:firstLine="720"/>
        <w:rPr>
          <w:rFonts w:ascii="Times New Roman" w:hAnsi="Times New Roman" w:cs="Times New Roman"/>
          <w:b/>
          <w:sz w:val="24"/>
          <w:szCs w:val="24"/>
        </w:rPr>
      </w:pPr>
      <w:r>
        <w:rPr>
          <w:rFonts w:ascii="Times New Roman" w:hAnsi="Times New Roman" w:cs="Times New Roman"/>
          <w:sz w:val="24"/>
          <w:szCs w:val="24"/>
        </w:rPr>
        <w:t>It is true that the rule applied in</w:t>
      </w:r>
      <w:r w:rsidR="00870954">
        <w:rPr>
          <w:rFonts w:ascii="Times New Roman" w:hAnsi="Times New Roman" w:cs="Times New Roman"/>
          <w:sz w:val="24"/>
          <w:szCs w:val="24"/>
        </w:rPr>
        <w:t xml:space="preserve"> </w:t>
      </w:r>
      <w:r w:rsidR="00870954" w:rsidRPr="00AF7C6C">
        <w:rPr>
          <w:rFonts w:ascii="Times New Roman" w:hAnsi="Times New Roman" w:cs="Times New Roman"/>
          <w:i/>
          <w:sz w:val="24"/>
          <w:szCs w:val="24"/>
        </w:rPr>
        <w:t>Monsanto Co v. Co</w:t>
      </w:r>
      <w:r w:rsidR="00870954" w:rsidRPr="00AF7C6C">
        <w:rPr>
          <w:rFonts w:ascii="Times New Roman" w:hAnsi="Times New Roman" w:cs="Times New Roman"/>
          <w:i/>
          <w:sz w:val="24"/>
          <w:szCs w:val="24"/>
        </w:rPr>
        <w:t>ramandal Indag Products, (P) Ltd</w:t>
      </w:r>
      <w:r w:rsidR="00870954">
        <w:rPr>
          <w:rFonts w:ascii="Times New Roman" w:hAnsi="Times New Roman" w:cs="Times New Roman"/>
          <w:sz w:val="24"/>
          <w:szCs w:val="24"/>
        </w:rPr>
        <w:t xml:space="preserve"> </w:t>
      </w:r>
      <w:r>
        <w:rPr>
          <w:rFonts w:ascii="Times New Roman" w:hAnsi="Times New Roman" w:cs="Times New Roman"/>
          <w:sz w:val="24"/>
          <w:szCs w:val="24"/>
        </w:rPr>
        <w:t xml:space="preserve">case was relevant to nature, facts </w:t>
      </w:r>
      <w:r w:rsidR="00870954">
        <w:rPr>
          <w:rFonts w:ascii="Times New Roman" w:hAnsi="Times New Roman" w:cs="Times New Roman"/>
          <w:sz w:val="24"/>
          <w:szCs w:val="24"/>
        </w:rPr>
        <w:t>a</w:t>
      </w:r>
      <w:r w:rsidR="00870954">
        <w:rPr>
          <w:rFonts w:ascii="Times New Roman" w:hAnsi="Times New Roman" w:cs="Times New Roman"/>
          <w:sz w:val="24"/>
          <w:szCs w:val="24"/>
        </w:rPr>
        <w:t xml:space="preserve">nd issues of the case and the judgment pronounced was accurate and correct. </w:t>
      </w:r>
    </w:p>
    <w:p w14:paraId="63466FC0" w14:textId="77777777" w:rsidR="001477B9" w:rsidRDefault="00870954" w:rsidP="00262123">
      <w:pPr>
        <w:ind w:firstLine="0"/>
        <w:rPr>
          <w:rFonts w:ascii="Times New Roman" w:hAnsi="Times New Roman" w:cs="Times New Roman"/>
          <w:sz w:val="24"/>
          <w:szCs w:val="24"/>
        </w:rPr>
      </w:pPr>
      <w:r>
        <w:rPr>
          <w:rFonts w:ascii="Times New Roman" w:hAnsi="Times New Roman" w:cs="Times New Roman"/>
          <w:sz w:val="24"/>
          <w:szCs w:val="24"/>
        </w:rPr>
        <w:br w:type="page"/>
      </w:r>
    </w:p>
    <w:p w14:paraId="6A24FC23" w14:textId="37ED30BC" w:rsidR="001477B9" w:rsidRPr="00262123" w:rsidRDefault="00870954" w:rsidP="00262123">
      <w:pPr>
        <w:tabs>
          <w:tab w:val="left" w:pos="2786"/>
        </w:tabs>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27E9BE1B" w14:textId="77777777" w:rsidR="001477B9" w:rsidRDefault="00870954" w:rsidP="00632D7C">
      <w:pPr>
        <w:tabs>
          <w:tab w:val="left" w:pos="2786"/>
        </w:tabs>
        <w:rPr>
          <w:rFonts w:ascii="Times New Roman" w:hAnsi="Times New Roman" w:cs="Times New Roman"/>
          <w:sz w:val="24"/>
          <w:szCs w:val="24"/>
        </w:rPr>
      </w:pPr>
      <w:r w:rsidRPr="001477B9">
        <w:rPr>
          <w:rFonts w:ascii="Times New Roman" w:hAnsi="Times New Roman" w:cs="Times New Roman"/>
          <w:sz w:val="24"/>
          <w:szCs w:val="24"/>
        </w:rPr>
        <w:t xml:space="preserve">International Tribunal for the Law of the Sea Tribunal </w:t>
      </w:r>
      <w:r w:rsidR="007146AB">
        <w:rPr>
          <w:rFonts w:ascii="Times New Roman" w:hAnsi="Times New Roman" w:cs="Times New Roman"/>
          <w:sz w:val="24"/>
          <w:szCs w:val="24"/>
        </w:rPr>
        <w:t>international.</w:t>
      </w:r>
      <w:r w:rsidR="007146AB" w:rsidRPr="007146AB">
        <w:t xml:space="preserve"> </w:t>
      </w:r>
      <w:r w:rsidR="007146AB" w:rsidRPr="007146AB">
        <w:rPr>
          <w:rFonts w:ascii="Times New Roman" w:hAnsi="Times New Roman" w:cs="Times New Roman"/>
          <w:sz w:val="24"/>
          <w:szCs w:val="24"/>
        </w:rPr>
        <w:t>The M/V Saiga case</w:t>
      </w:r>
      <w:r w:rsidR="007146AB">
        <w:rPr>
          <w:rFonts w:ascii="Times New Roman" w:hAnsi="Times New Roman" w:cs="Times New Roman"/>
          <w:sz w:val="24"/>
          <w:szCs w:val="24"/>
        </w:rPr>
        <w:t>.</w:t>
      </w:r>
      <w:r>
        <w:rPr>
          <w:rFonts w:ascii="Times New Roman" w:hAnsi="Times New Roman" w:cs="Times New Roman"/>
          <w:sz w:val="24"/>
          <w:szCs w:val="24"/>
        </w:rPr>
        <w:t xml:space="preserve"> Retrieved </w:t>
      </w:r>
      <w:r w:rsidRPr="001477B9">
        <w:rPr>
          <w:rFonts w:ascii="Times New Roman" w:hAnsi="Times New Roman" w:cs="Times New Roman"/>
          <w:sz w:val="24"/>
          <w:szCs w:val="24"/>
        </w:rPr>
        <w:t xml:space="preserve">from </w:t>
      </w:r>
      <w:hyperlink r:id="rId7" w:history="1">
        <w:r w:rsidRPr="009249D7">
          <w:rPr>
            <w:rStyle w:val="Hyperlink"/>
            <w:rFonts w:ascii="Times New Roman" w:hAnsi="Times New Roman" w:cs="Times New Roman"/>
            <w:sz w:val="24"/>
            <w:szCs w:val="24"/>
          </w:rPr>
          <w:t>https://www.itlos.org/en/cases/list-of-cases/case-no-1/</w:t>
        </w:r>
      </w:hyperlink>
      <w:r>
        <w:rPr>
          <w:rFonts w:ascii="Times New Roman" w:hAnsi="Times New Roman" w:cs="Times New Roman"/>
          <w:sz w:val="24"/>
          <w:szCs w:val="24"/>
        </w:rPr>
        <w:t xml:space="preserve"> </w:t>
      </w:r>
    </w:p>
    <w:p w14:paraId="4D2EE128" w14:textId="77777777" w:rsidR="001477B9" w:rsidRPr="001477B9" w:rsidRDefault="00870954" w:rsidP="00632D7C">
      <w:pPr>
        <w:rPr>
          <w:rFonts w:ascii="Times New Roman" w:hAnsi="Times New Roman" w:cs="Times New Roman"/>
          <w:sz w:val="24"/>
          <w:szCs w:val="24"/>
        </w:rPr>
      </w:pPr>
      <w:r w:rsidRPr="001477B9">
        <w:rPr>
          <w:rFonts w:ascii="Times New Roman" w:hAnsi="Times New Roman" w:cs="Times New Roman"/>
          <w:sz w:val="24"/>
          <w:szCs w:val="24"/>
        </w:rPr>
        <w:t>FindLaw's</w:t>
      </w:r>
      <w:r>
        <w:rPr>
          <w:rFonts w:ascii="Times New Roman" w:hAnsi="Times New Roman" w:cs="Times New Roman"/>
          <w:sz w:val="24"/>
          <w:szCs w:val="24"/>
        </w:rPr>
        <w:t>.</w:t>
      </w:r>
      <w:r w:rsidRPr="001477B9">
        <w:rPr>
          <w:rFonts w:ascii="Times New Roman" w:hAnsi="Times New Roman" w:cs="Times New Roman"/>
          <w:sz w:val="24"/>
          <w:szCs w:val="24"/>
        </w:rPr>
        <w:t xml:space="preserve"> </w:t>
      </w:r>
      <w:r w:rsidR="007146AB">
        <w:rPr>
          <w:rFonts w:ascii="Times New Roman" w:hAnsi="Times New Roman" w:cs="Times New Roman"/>
          <w:sz w:val="24"/>
          <w:szCs w:val="24"/>
        </w:rPr>
        <w:t>(2018</w:t>
      </w:r>
      <w:r w:rsidRPr="001477B9">
        <w:rPr>
          <w:rFonts w:ascii="Times New Roman" w:hAnsi="Times New Roman" w:cs="Times New Roman"/>
          <w:sz w:val="24"/>
          <w:szCs w:val="24"/>
        </w:rPr>
        <w:t>)</w:t>
      </w:r>
      <w:r>
        <w:rPr>
          <w:rFonts w:ascii="Times New Roman" w:hAnsi="Times New Roman" w:cs="Times New Roman"/>
          <w:sz w:val="24"/>
          <w:szCs w:val="24"/>
        </w:rPr>
        <w:t xml:space="preserve">. </w:t>
      </w:r>
      <w:r w:rsidRPr="001477B9">
        <w:rPr>
          <w:rFonts w:ascii="Times New Roman" w:hAnsi="Times New Roman" w:cs="Times New Roman"/>
          <w:sz w:val="24"/>
          <w:szCs w:val="24"/>
        </w:rPr>
        <w:t>Herbert A</w:t>
      </w:r>
      <w:r w:rsidR="007146AB" w:rsidRPr="001477B9">
        <w:rPr>
          <w:rFonts w:ascii="Times New Roman" w:hAnsi="Times New Roman" w:cs="Times New Roman"/>
          <w:sz w:val="24"/>
          <w:szCs w:val="24"/>
        </w:rPr>
        <w:t xml:space="preserve">. </w:t>
      </w:r>
      <w:r w:rsidRPr="001477B9">
        <w:rPr>
          <w:rFonts w:ascii="Times New Roman" w:hAnsi="Times New Roman" w:cs="Times New Roman"/>
          <w:sz w:val="24"/>
          <w:szCs w:val="24"/>
        </w:rPr>
        <w:t>Middendorff</w:t>
      </w:r>
      <w:r w:rsidR="007146AB" w:rsidRPr="001477B9">
        <w:rPr>
          <w:rFonts w:ascii="Times New Roman" w:hAnsi="Times New Roman" w:cs="Times New Roman"/>
          <w:sz w:val="24"/>
          <w:szCs w:val="24"/>
        </w:rPr>
        <w:t xml:space="preserve">, </w:t>
      </w:r>
      <w:r w:rsidRPr="001477B9">
        <w:rPr>
          <w:rFonts w:ascii="Times New Roman" w:hAnsi="Times New Roman" w:cs="Times New Roman"/>
          <w:sz w:val="24"/>
          <w:szCs w:val="24"/>
        </w:rPr>
        <w:t>Plaintiff</w:t>
      </w:r>
      <w:r w:rsidR="007146AB" w:rsidRPr="001477B9">
        <w:rPr>
          <w:rFonts w:ascii="Times New Roman" w:hAnsi="Times New Roman" w:cs="Times New Roman"/>
          <w:sz w:val="24"/>
          <w:szCs w:val="24"/>
        </w:rPr>
        <w:t>, V. Sturge Ltd</w:t>
      </w:r>
      <w:r w:rsidRPr="001477B9">
        <w:rPr>
          <w:rFonts w:ascii="Times New Roman" w:hAnsi="Times New Roman" w:cs="Times New Roman"/>
          <w:sz w:val="24"/>
          <w:szCs w:val="24"/>
        </w:rPr>
        <w:t xml:space="preserve">. </w:t>
      </w:r>
      <w:r>
        <w:rPr>
          <w:rFonts w:ascii="Times New Roman" w:hAnsi="Times New Roman" w:cs="Times New Roman"/>
          <w:sz w:val="24"/>
          <w:szCs w:val="24"/>
        </w:rPr>
        <w:t xml:space="preserve">Retrieved </w:t>
      </w:r>
      <w:r w:rsidRPr="001477B9">
        <w:rPr>
          <w:rFonts w:ascii="Times New Roman" w:hAnsi="Times New Roman" w:cs="Times New Roman"/>
          <w:sz w:val="24"/>
          <w:szCs w:val="24"/>
        </w:rPr>
        <w:t xml:space="preserve">from </w:t>
      </w:r>
      <w:hyperlink r:id="rId8" w:history="1">
        <w:r w:rsidRPr="009249D7">
          <w:rPr>
            <w:rStyle w:val="Hyperlink"/>
            <w:rFonts w:ascii="Times New Roman" w:hAnsi="Times New Roman" w:cs="Times New Roman"/>
            <w:sz w:val="24"/>
            <w:szCs w:val="24"/>
          </w:rPr>
          <w:t>http://caselaw.findlaw.com/us-6th-circuit/1336564.html</w:t>
        </w:r>
      </w:hyperlink>
      <w:r>
        <w:rPr>
          <w:rFonts w:ascii="Times New Roman" w:hAnsi="Times New Roman" w:cs="Times New Roman"/>
          <w:sz w:val="24"/>
          <w:szCs w:val="24"/>
        </w:rPr>
        <w:t xml:space="preserve"> </w:t>
      </w:r>
    </w:p>
    <w:p w14:paraId="1A80A316" w14:textId="7257D66A" w:rsidR="001477B9" w:rsidRPr="009F5553" w:rsidRDefault="00870954" w:rsidP="00632D7C">
      <w:pPr>
        <w:tabs>
          <w:tab w:val="left" w:pos="2786"/>
        </w:tabs>
        <w:rPr>
          <w:rFonts w:ascii="Times New Roman" w:hAnsi="Times New Roman" w:cs="Times New Roman"/>
          <w:sz w:val="24"/>
          <w:szCs w:val="24"/>
        </w:rPr>
      </w:pPr>
      <w:r>
        <w:rPr>
          <w:rFonts w:ascii="Times New Roman" w:hAnsi="Times New Roman" w:cs="Times New Roman"/>
          <w:sz w:val="24"/>
          <w:szCs w:val="24"/>
        </w:rPr>
        <w:t>Indian</w:t>
      </w:r>
      <w:r w:rsidR="00262123">
        <w:rPr>
          <w:rFonts w:ascii="Times New Roman" w:hAnsi="Times New Roman" w:cs="Times New Roman"/>
          <w:sz w:val="24"/>
          <w:szCs w:val="24"/>
        </w:rPr>
        <w:t xml:space="preserve"> </w:t>
      </w:r>
      <w:r>
        <w:rPr>
          <w:rFonts w:ascii="Times New Roman" w:hAnsi="Times New Roman" w:cs="Times New Roman"/>
          <w:sz w:val="24"/>
          <w:szCs w:val="24"/>
        </w:rPr>
        <w:t>kanoon.</w:t>
      </w:r>
      <w:r w:rsidR="00262123" w:rsidRPr="00262123">
        <w:rPr>
          <w:rFonts w:ascii="Times New Roman" w:hAnsi="Times New Roman" w:cs="Times New Roman"/>
          <w:sz w:val="24"/>
          <w:szCs w:val="24"/>
        </w:rPr>
        <w:t xml:space="preserve"> </w:t>
      </w:r>
      <w:r w:rsidR="00262123">
        <w:rPr>
          <w:rFonts w:ascii="Times New Roman" w:hAnsi="Times New Roman" w:cs="Times New Roman"/>
          <w:sz w:val="24"/>
          <w:szCs w:val="24"/>
        </w:rPr>
        <w:t>(</w:t>
      </w:r>
      <w:r w:rsidR="00262123" w:rsidRPr="007146AB">
        <w:rPr>
          <w:rFonts w:ascii="Times New Roman" w:hAnsi="Times New Roman" w:cs="Times New Roman"/>
          <w:sz w:val="24"/>
          <w:szCs w:val="24"/>
        </w:rPr>
        <w:t>1986</w:t>
      </w:r>
      <w:r w:rsidR="00262123">
        <w:rPr>
          <w:rFonts w:ascii="Times New Roman" w:hAnsi="Times New Roman" w:cs="Times New Roman"/>
          <w:sz w:val="24"/>
          <w:szCs w:val="24"/>
        </w:rPr>
        <w:t xml:space="preserve">). </w:t>
      </w:r>
      <w:r w:rsidRPr="007146AB">
        <w:rPr>
          <w:rFonts w:ascii="Times New Roman" w:hAnsi="Times New Roman" w:cs="Times New Roman"/>
          <w:sz w:val="24"/>
          <w:szCs w:val="24"/>
        </w:rPr>
        <w:t>Mons</w:t>
      </w:r>
      <w:r>
        <w:rPr>
          <w:rFonts w:ascii="Times New Roman" w:hAnsi="Times New Roman" w:cs="Times New Roman"/>
          <w:sz w:val="24"/>
          <w:szCs w:val="24"/>
        </w:rPr>
        <w:t>anto Company</w:t>
      </w:r>
      <w:r w:rsidRPr="007146AB">
        <w:rPr>
          <w:rFonts w:ascii="Times New Roman" w:hAnsi="Times New Roman" w:cs="Times New Roman"/>
          <w:sz w:val="24"/>
          <w:szCs w:val="24"/>
        </w:rPr>
        <w:t xml:space="preserve"> </w:t>
      </w:r>
      <w:r w:rsidR="00262123" w:rsidRPr="007146AB">
        <w:rPr>
          <w:rFonts w:ascii="Times New Roman" w:hAnsi="Times New Roman" w:cs="Times New Roman"/>
          <w:sz w:val="24"/>
          <w:szCs w:val="24"/>
        </w:rPr>
        <w:t>vs.</w:t>
      </w:r>
      <w:r w:rsidRPr="007146AB">
        <w:rPr>
          <w:rFonts w:ascii="Times New Roman" w:hAnsi="Times New Roman" w:cs="Times New Roman"/>
          <w:sz w:val="24"/>
          <w:szCs w:val="24"/>
        </w:rPr>
        <w:t xml:space="preserve"> Coramandal Indag</w:t>
      </w:r>
      <w:r w:rsidR="00262123">
        <w:rPr>
          <w:rFonts w:ascii="Times New Roman" w:hAnsi="Times New Roman" w:cs="Times New Roman"/>
          <w:sz w:val="24"/>
          <w:szCs w:val="24"/>
        </w:rPr>
        <w:t xml:space="preserve"> Products (P) Ltd</w:t>
      </w:r>
      <w:r>
        <w:rPr>
          <w:rFonts w:ascii="Times New Roman" w:hAnsi="Times New Roman" w:cs="Times New Roman"/>
          <w:sz w:val="24"/>
          <w:szCs w:val="24"/>
        </w:rPr>
        <w:t xml:space="preserve">. Retrieved </w:t>
      </w:r>
      <w:r w:rsidRPr="007146AB">
        <w:rPr>
          <w:rFonts w:ascii="Times New Roman" w:hAnsi="Times New Roman" w:cs="Times New Roman"/>
          <w:sz w:val="24"/>
          <w:szCs w:val="24"/>
        </w:rPr>
        <w:t xml:space="preserve">from </w:t>
      </w:r>
      <w:hyperlink r:id="rId9" w:history="1">
        <w:r w:rsidRPr="009249D7">
          <w:rPr>
            <w:rStyle w:val="Hyperlink"/>
            <w:rFonts w:ascii="Times New Roman" w:hAnsi="Times New Roman" w:cs="Times New Roman"/>
            <w:sz w:val="24"/>
            <w:szCs w:val="24"/>
          </w:rPr>
          <w:t>https://indiankanoon.org/doc/1918928/</w:t>
        </w:r>
      </w:hyperlink>
      <w:r>
        <w:rPr>
          <w:rFonts w:ascii="Times New Roman" w:hAnsi="Times New Roman" w:cs="Times New Roman"/>
          <w:sz w:val="24"/>
          <w:szCs w:val="24"/>
        </w:rPr>
        <w:t xml:space="preserve"> </w:t>
      </w:r>
    </w:p>
    <w:p w14:paraId="3447A975" w14:textId="77777777" w:rsidR="00015AD0" w:rsidRDefault="00870954" w:rsidP="00632D7C">
      <w:pPr>
        <w:rPr>
          <w:rFonts w:ascii="Times New Roman" w:hAnsi="Times New Roman" w:cs="Times New Roman"/>
          <w:sz w:val="24"/>
          <w:szCs w:val="24"/>
        </w:rPr>
      </w:pPr>
      <w:r>
        <w:rPr>
          <w:rFonts w:ascii="Times New Roman" w:hAnsi="Times New Roman" w:cs="Times New Roman"/>
          <w:sz w:val="24"/>
          <w:szCs w:val="24"/>
        </w:rPr>
        <w:t xml:space="preserve">World Trade Organization. (1998). </w:t>
      </w:r>
      <w:r w:rsidRPr="007146AB">
        <w:rPr>
          <w:rFonts w:ascii="Times New Roman" w:hAnsi="Times New Roman" w:cs="Times New Roman"/>
          <w:sz w:val="24"/>
          <w:szCs w:val="24"/>
        </w:rPr>
        <w:t>Japan — Taxes on Alcoholic Beverages</w:t>
      </w:r>
      <w:r>
        <w:rPr>
          <w:rFonts w:ascii="Times New Roman" w:hAnsi="Times New Roman" w:cs="Times New Roman"/>
          <w:sz w:val="24"/>
          <w:szCs w:val="24"/>
        </w:rPr>
        <w:t xml:space="preserve">. Retrieved from </w:t>
      </w:r>
      <w:hyperlink r:id="rId10" w:history="1">
        <w:r w:rsidRPr="009249D7">
          <w:rPr>
            <w:rStyle w:val="Hyperlink"/>
            <w:rFonts w:ascii="Times New Roman" w:hAnsi="Times New Roman" w:cs="Times New Roman"/>
            <w:sz w:val="24"/>
            <w:szCs w:val="24"/>
          </w:rPr>
          <w:t>https://www.wto.org/english/tratop_e/dispu_e/cases_e/ds8_e.htm</w:t>
        </w:r>
      </w:hyperlink>
      <w:r>
        <w:rPr>
          <w:rFonts w:ascii="Times New Roman" w:hAnsi="Times New Roman" w:cs="Times New Roman"/>
          <w:sz w:val="24"/>
          <w:szCs w:val="24"/>
        </w:rPr>
        <w:t xml:space="preserve"> </w:t>
      </w:r>
    </w:p>
    <w:p w14:paraId="3AC3D5D5" w14:textId="77777777" w:rsidR="007146AB" w:rsidRPr="00015AD0" w:rsidRDefault="00870954" w:rsidP="00632D7C">
      <w:pPr>
        <w:rPr>
          <w:rFonts w:ascii="Times New Roman" w:hAnsi="Times New Roman" w:cs="Times New Roman"/>
          <w:sz w:val="24"/>
          <w:szCs w:val="24"/>
        </w:rPr>
      </w:pPr>
      <w:r>
        <w:rPr>
          <w:rFonts w:ascii="Times New Roman" w:hAnsi="Times New Roman" w:cs="Times New Roman"/>
          <w:sz w:val="24"/>
          <w:szCs w:val="24"/>
        </w:rPr>
        <w:t>International Legal Materi</w:t>
      </w:r>
      <w:r>
        <w:rPr>
          <w:rFonts w:ascii="Times New Roman" w:hAnsi="Times New Roman" w:cs="Times New Roman"/>
          <w:sz w:val="24"/>
          <w:szCs w:val="24"/>
        </w:rPr>
        <w:t>als. (</w:t>
      </w:r>
      <w:r w:rsidRPr="007146AB">
        <w:rPr>
          <w:rFonts w:ascii="Times New Roman" w:hAnsi="Times New Roman" w:cs="Times New Roman"/>
          <w:sz w:val="24"/>
          <w:szCs w:val="24"/>
        </w:rPr>
        <w:t>1987</w:t>
      </w:r>
      <w:r>
        <w:rPr>
          <w:rFonts w:ascii="Times New Roman" w:hAnsi="Times New Roman" w:cs="Times New Roman"/>
          <w:sz w:val="24"/>
          <w:szCs w:val="24"/>
        </w:rPr>
        <w:t xml:space="preserve">). </w:t>
      </w:r>
      <w:r w:rsidRPr="007146AB">
        <w:rPr>
          <w:rFonts w:ascii="Times New Roman" w:hAnsi="Times New Roman" w:cs="Times New Roman"/>
          <w:sz w:val="24"/>
          <w:szCs w:val="24"/>
        </w:rPr>
        <w:t xml:space="preserve">United Kingdom: high court of justice (Queen’s Bench division, commercial court) judgment in Libyan Arab foreign bank v. Bankers </w:t>
      </w:r>
      <w:r w:rsidR="00632D7C" w:rsidRPr="007146AB">
        <w:rPr>
          <w:rFonts w:ascii="Times New Roman" w:hAnsi="Times New Roman" w:cs="Times New Roman"/>
          <w:sz w:val="24"/>
          <w:szCs w:val="24"/>
        </w:rPr>
        <w:t xml:space="preserve">Trust </w:t>
      </w:r>
      <w:r w:rsidRPr="007146AB">
        <w:rPr>
          <w:rFonts w:ascii="Times New Roman" w:hAnsi="Times New Roman" w:cs="Times New Roman"/>
          <w:sz w:val="24"/>
          <w:szCs w:val="24"/>
        </w:rPr>
        <w:t>company</w:t>
      </w:r>
      <w:r w:rsidR="00632D7C">
        <w:rPr>
          <w:rFonts w:ascii="Times New Roman" w:hAnsi="Times New Roman" w:cs="Times New Roman"/>
          <w:sz w:val="24"/>
          <w:szCs w:val="24"/>
        </w:rPr>
        <w:t>. Cambridge University Press.</w:t>
      </w:r>
    </w:p>
    <w:p w14:paraId="05EF2ADE" w14:textId="77777777" w:rsidR="00015AD0" w:rsidRPr="00015AD0" w:rsidRDefault="00870954" w:rsidP="00632D7C">
      <w:pPr>
        <w:tabs>
          <w:tab w:val="left" w:pos="5963"/>
        </w:tabs>
        <w:ind w:firstLine="0"/>
        <w:rPr>
          <w:rFonts w:ascii="Times New Roman" w:hAnsi="Times New Roman" w:cs="Times New Roman"/>
        </w:rPr>
      </w:pPr>
      <w:r>
        <w:rPr>
          <w:rFonts w:ascii="Times New Roman" w:hAnsi="Times New Roman" w:cs="Times New Roman"/>
        </w:rPr>
        <w:tab/>
      </w:r>
    </w:p>
    <w:p w14:paraId="434C3BFF" w14:textId="77777777" w:rsidR="00015AD0" w:rsidRPr="00015AD0" w:rsidRDefault="00015AD0" w:rsidP="00015AD0">
      <w:pPr>
        <w:ind w:firstLine="0"/>
        <w:rPr>
          <w:rFonts w:ascii="Times New Roman" w:hAnsi="Times New Roman" w:cs="Times New Roman"/>
        </w:rPr>
      </w:pPr>
    </w:p>
    <w:p w14:paraId="5EA68C10" w14:textId="77777777" w:rsidR="00B27145" w:rsidRPr="00B27145" w:rsidRDefault="00B27145" w:rsidP="00015AD0">
      <w:pPr>
        <w:ind w:left="0" w:firstLine="0"/>
        <w:rPr>
          <w:rFonts w:ascii="Times New Roman" w:hAnsi="Times New Roman" w:cs="Times New Roman"/>
          <w:sz w:val="24"/>
          <w:szCs w:val="24"/>
        </w:rPr>
      </w:pPr>
      <w:bookmarkStart w:id="0" w:name="_GoBack"/>
      <w:bookmarkEnd w:id="0"/>
    </w:p>
    <w:sectPr w:rsidR="00B27145" w:rsidRPr="00B27145" w:rsidSect="00632D7C">
      <w:head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6ABDFF" w14:textId="77777777" w:rsidR="00870954" w:rsidRDefault="00870954">
      <w:pPr>
        <w:spacing w:after="0" w:line="240" w:lineRule="auto"/>
      </w:pPr>
      <w:r>
        <w:separator/>
      </w:r>
    </w:p>
  </w:endnote>
  <w:endnote w:type="continuationSeparator" w:id="0">
    <w:p w14:paraId="5E7FA23F" w14:textId="77777777" w:rsidR="00870954" w:rsidRDefault="00870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5057CE" w14:textId="77777777" w:rsidR="00870954" w:rsidRDefault="00870954">
      <w:pPr>
        <w:spacing w:after="0" w:line="240" w:lineRule="auto"/>
      </w:pPr>
      <w:r>
        <w:separator/>
      </w:r>
    </w:p>
  </w:footnote>
  <w:footnote w:type="continuationSeparator" w:id="0">
    <w:p w14:paraId="1A6A832E" w14:textId="77777777" w:rsidR="00870954" w:rsidRDefault="008709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03972B" w14:textId="0AD733B7" w:rsidR="00632D7C" w:rsidRPr="00632D7C" w:rsidRDefault="00870954">
    <w:pPr>
      <w:pStyle w:val="Header"/>
      <w:jc w:val="right"/>
      <w:rPr>
        <w:rFonts w:ascii="Times New Roman" w:hAnsi="Times New Roman" w:cs="Times New Roman"/>
        <w:sz w:val="24"/>
        <w:szCs w:val="24"/>
      </w:rPr>
    </w:pPr>
    <w:r w:rsidRPr="00632D7C">
      <w:rPr>
        <w:rFonts w:ascii="Times New Roman" w:hAnsi="Times New Roman" w:cs="Times New Roman"/>
        <w:sz w:val="24"/>
        <w:szCs w:val="24"/>
      </w:rPr>
      <w:t>CASE BRIEFS</w:t>
    </w:r>
    <w:sdt>
      <w:sdtPr>
        <w:rPr>
          <w:rFonts w:ascii="Times New Roman" w:hAnsi="Times New Roman" w:cs="Times New Roman"/>
          <w:sz w:val="24"/>
          <w:szCs w:val="24"/>
        </w:rPr>
        <w:id w:val="-150936369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8E0BDB">
          <w:rPr>
            <w:rFonts w:ascii="Times New Roman" w:hAnsi="Times New Roman" w:cs="Times New Roman"/>
            <w:sz w:val="24"/>
            <w:szCs w:val="24"/>
          </w:rPr>
          <w:t xml:space="preserve">                              </w:t>
        </w:r>
        <w:r w:rsidRPr="00632D7C">
          <w:rPr>
            <w:rFonts w:ascii="Times New Roman" w:hAnsi="Times New Roman" w:cs="Times New Roman"/>
            <w:sz w:val="24"/>
            <w:szCs w:val="24"/>
          </w:rPr>
          <w:fldChar w:fldCharType="begin"/>
        </w:r>
        <w:r w:rsidRPr="00632D7C">
          <w:rPr>
            <w:rFonts w:ascii="Times New Roman" w:hAnsi="Times New Roman" w:cs="Times New Roman"/>
            <w:sz w:val="24"/>
            <w:szCs w:val="24"/>
          </w:rPr>
          <w:instrText xml:space="preserve"> PAGE   \* MERGEFORMAT </w:instrText>
        </w:r>
        <w:r w:rsidRPr="00632D7C">
          <w:rPr>
            <w:rFonts w:ascii="Times New Roman" w:hAnsi="Times New Roman" w:cs="Times New Roman"/>
            <w:sz w:val="24"/>
            <w:szCs w:val="24"/>
          </w:rPr>
          <w:fldChar w:fldCharType="separate"/>
        </w:r>
        <w:r w:rsidR="008E0BDB">
          <w:rPr>
            <w:rFonts w:ascii="Times New Roman" w:hAnsi="Times New Roman" w:cs="Times New Roman"/>
            <w:noProof/>
            <w:sz w:val="24"/>
            <w:szCs w:val="24"/>
          </w:rPr>
          <w:t>10</w:t>
        </w:r>
        <w:r w:rsidRPr="00632D7C">
          <w:rPr>
            <w:rFonts w:ascii="Times New Roman" w:hAnsi="Times New Roman" w:cs="Times New Roman"/>
            <w:noProof/>
            <w:sz w:val="24"/>
            <w:szCs w:val="24"/>
          </w:rPr>
          <w:fldChar w:fldCharType="end"/>
        </w:r>
      </w:sdtContent>
    </w:sdt>
  </w:p>
  <w:p w14:paraId="7BCB1D0E" w14:textId="77777777" w:rsidR="00632D7C" w:rsidRPr="00632D7C" w:rsidRDefault="00632D7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E8475" w14:textId="77777777" w:rsidR="00632D7C" w:rsidRPr="00632D7C" w:rsidRDefault="00870954" w:rsidP="00632D7C">
    <w:pPr>
      <w:pStyle w:val="Header"/>
      <w:ind w:left="0" w:firstLine="0"/>
      <w:rPr>
        <w:rFonts w:ascii="Times New Roman" w:hAnsi="Times New Roman" w:cs="Times New Roman"/>
        <w:sz w:val="24"/>
        <w:szCs w:val="24"/>
      </w:rPr>
    </w:pPr>
    <w:r w:rsidRPr="00632D7C">
      <w:rPr>
        <w:rFonts w:ascii="Times New Roman" w:hAnsi="Times New Roman" w:cs="Times New Roman"/>
        <w:sz w:val="24"/>
        <w:szCs w:val="24"/>
      </w:rPr>
      <w:t xml:space="preserve">Running head: CASE BRIEFS </w:t>
    </w:r>
  </w:p>
  <w:p w14:paraId="1D6C6542" w14:textId="77777777" w:rsidR="00632D7C" w:rsidRPr="00632D7C" w:rsidRDefault="00632D7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471386"/>
    <w:multiLevelType w:val="hybridMultilevel"/>
    <w:tmpl w:val="4A642B92"/>
    <w:lvl w:ilvl="0" w:tplc="BE181796">
      <w:start w:val="1"/>
      <w:numFmt w:val="decimal"/>
      <w:lvlText w:val="%1."/>
      <w:lvlJc w:val="left"/>
      <w:pPr>
        <w:ind w:left="720" w:hanging="360"/>
      </w:pPr>
    </w:lvl>
    <w:lvl w:ilvl="1" w:tplc="36BA0CC8" w:tentative="1">
      <w:start w:val="1"/>
      <w:numFmt w:val="lowerLetter"/>
      <w:lvlText w:val="%2."/>
      <w:lvlJc w:val="left"/>
      <w:pPr>
        <w:ind w:left="1440" w:hanging="360"/>
      </w:pPr>
    </w:lvl>
    <w:lvl w:ilvl="2" w:tplc="A888E1E6" w:tentative="1">
      <w:start w:val="1"/>
      <w:numFmt w:val="lowerRoman"/>
      <w:lvlText w:val="%3."/>
      <w:lvlJc w:val="right"/>
      <w:pPr>
        <w:ind w:left="2160" w:hanging="180"/>
      </w:pPr>
    </w:lvl>
    <w:lvl w:ilvl="3" w:tplc="BF20DDE4" w:tentative="1">
      <w:start w:val="1"/>
      <w:numFmt w:val="decimal"/>
      <w:lvlText w:val="%4."/>
      <w:lvlJc w:val="left"/>
      <w:pPr>
        <w:ind w:left="2880" w:hanging="360"/>
      </w:pPr>
    </w:lvl>
    <w:lvl w:ilvl="4" w:tplc="F0F8075E" w:tentative="1">
      <w:start w:val="1"/>
      <w:numFmt w:val="lowerLetter"/>
      <w:lvlText w:val="%5."/>
      <w:lvlJc w:val="left"/>
      <w:pPr>
        <w:ind w:left="3600" w:hanging="360"/>
      </w:pPr>
    </w:lvl>
    <w:lvl w:ilvl="5" w:tplc="DD8CF7AE" w:tentative="1">
      <w:start w:val="1"/>
      <w:numFmt w:val="lowerRoman"/>
      <w:lvlText w:val="%6."/>
      <w:lvlJc w:val="right"/>
      <w:pPr>
        <w:ind w:left="4320" w:hanging="180"/>
      </w:pPr>
    </w:lvl>
    <w:lvl w:ilvl="6" w:tplc="818C4402" w:tentative="1">
      <w:start w:val="1"/>
      <w:numFmt w:val="decimal"/>
      <w:lvlText w:val="%7."/>
      <w:lvlJc w:val="left"/>
      <w:pPr>
        <w:ind w:left="5040" w:hanging="360"/>
      </w:pPr>
    </w:lvl>
    <w:lvl w:ilvl="7" w:tplc="924CF998" w:tentative="1">
      <w:start w:val="1"/>
      <w:numFmt w:val="lowerLetter"/>
      <w:lvlText w:val="%8."/>
      <w:lvlJc w:val="left"/>
      <w:pPr>
        <w:ind w:left="5760" w:hanging="360"/>
      </w:pPr>
    </w:lvl>
    <w:lvl w:ilvl="8" w:tplc="DA160D3E" w:tentative="1">
      <w:start w:val="1"/>
      <w:numFmt w:val="lowerRoman"/>
      <w:lvlText w:val="%9."/>
      <w:lvlJc w:val="right"/>
      <w:pPr>
        <w:ind w:left="6480" w:hanging="180"/>
      </w:pPr>
    </w:lvl>
  </w:abstractNum>
  <w:abstractNum w:abstractNumId="1">
    <w:nsid w:val="221A7313"/>
    <w:multiLevelType w:val="hybridMultilevel"/>
    <w:tmpl w:val="E84C3F74"/>
    <w:lvl w:ilvl="0" w:tplc="82D0F27C">
      <w:start w:val="1"/>
      <w:numFmt w:val="decimal"/>
      <w:lvlText w:val="%1."/>
      <w:lvlJc w:val="left"/>
      <w:pPr>
        <w:ind w:left="720" w:hanging="360"/>
      </w:pPr>
      <w:rPr>
        <w:b w:val="0"/>
      </w:rPr>
    </w:lvl>
    <w:lvl w:ilvl="1" w:tplc="43F8F3B8" w:tentative="1">
      <w:start w:val="1"/>
      <w:numFmt w:val="lowerLetter"/>
      <w:lvlText w:val="%2."/>
      <w:lvlJc w:val="left"/>
      <w:pPr>
        <w:ind w:left="1440" w:hanging="360"/>
      </w:pPr>
    </w:lvl>
    <w:lvl w:ilvl="2" w:tplc="9C6C6ADC" w:tentative="1">
      <w:start w:val="1"/>
      <w:numFmt w:val="lowerRoman"/>
      <w:lvlText w:val="%3."/>
      <w:lvlJc w:val="right"/>
      <w:pPr>
        <w:ind w:left="2160" w:hanging="180"/>
      </w:pPr>
    </w:lvl>
    <w:lvl w:ilvl="3" w:tplc="04A0A67A" w:tentative="1">
      <w:start w:val="1"/>
      <w:numFmt w:val="decimal"/>
      <w:lvlText w:val="%4."/>
      <w:lvlJc w:val="left"/>
      <w:pPr>
        <w:ind w:left="2880" w:hanging="360"/>
      </w:pPr>
    </w:lvl>
    <w:lvl w:ilvl="4" w:tplc="103C1722" w:tentative="1">
      <w:start w:val="1"/>
      <w:numFmt w:val="lowerLetter"/>
      <w:lvlText w:val="%5."/>
      <w:lvlJc w:val="left"/>
      <w:pPr>
        <w:ind w:left="3600" w:hanging="360"/>
      </w:pPr>
    </w:lvl>
    <w:lvl w:ilvl="5" w:tplc="D03E5AA2" w:tentative="1">
      <w:start w:val="1"/>
      <w:numFmt w:val="lowerRoman"/>
      <w:lvlText w:val="%6."/>
      <w:lvlJc w:val="right"/>
      <w:pPr>
        <w:ind w:left="4320" w:hanging="180"/>
      </w:pPr>
    </w:lvl>
    <w:lvl w:ilvl="6" w:tplc="85BCE7B6" w:tentative="1">
      <w:start w:val="1"/>
      <w:numFmt w:val="decimal"/>
      <w:lvlText w:val="%7."/>
      <w:lvlJc w:val="left"/>
      <w:pPr>
        <w:ind w:left="5040" w:hanging="360"/>
      </w:pPr>
    </w:lvl>
    <w:lvl w:ilvl="7" w:tplc="E06C4B54" w:tentative="1">
      <w:start w:val="1"/>
      <w:numFmt w:val="lowerLetter"/>
      <w:lvlText w:val="%8."/>
      <w:lvlJc w:val="left"/>
      <w:pPr>
        <w:ind w:left="5760" w:hanging="360"/>
      </w:pPr>
    </w:lvl>
    <w:lvl w:ilvl="8" w:tplc="45BC9A86" w:tentative="1">
      <w:start w:val="1"/>
      <w:numFmt w:val="lowerRoman"/>
      <w:lvlText w:val="%9."/>
      <w:lvlJc w:val="right"/>
      <w:pPr>
        <w:ind w:left="6480" w:hanging="180"/>
      </w:pPr>
    </w:lvl>
  </w:abstractNum>
  <w:abstractNum w:abstractNumId="2">
    <w:nsid w:val="69122093"/>
    <w:multiLevelType w:val="hybridMultilevel"/>
    <w:tmpl w:val="B672C612"/>
    <w:lvl w:ilvl="0" w:tplc="2B04BEF2">
      <w:start w:val="1"/>
      <w:numFmt w:val="decimal"/>
      <w:lvlText w:val="%1."/>
      <w:lvlJc w:val="left"/>
      <w:pPr>
        <w:ind w:left="720" w:hanging="360"/>
      </w:pPr>
    </w:lvl>
    <w:lvl w:ilvl="1" w:tplc="00C85CBC" w:tentative="1">
      <w:start w:val="1"/>
      <w:numFmt w:val="lowerLetter"/>
      <w:lvlText w:val="%2."/>
      <w:lvlJc w:val="left"/>
      <w:pPr>
        <w:ind w:left="1440" w:hanging="360"/>
      </w:pPr>
    </w:lvl>
    <w:lvl w:ilvl="2" w:tplc="2C460744" w:tentative="1">
      <w:start w:val="1"/>
      <w:numFmt w:val="lowerRoman"/>
      <w:lvlText w:val="%3."/>
      <w:lvlJc w:val="right"/>
      <w:pPr>
        <w:ind w:left="2160" w:hanging="180"/>
      </w:pPr>
    </w:lvl>
    <w:lvl w:ilvl="3" w:tplc="0F64EA12" w:tentative="1">
      <w:start w:val="1"/>
      <w:numFmt w:val="decimal"/>
      <w:lvlText w:val="%4."/>
      <w:lvlJc w:val="left"/>
      <w:pPr>
        <w:ind w:left="2880" w:hanging="360"/>
      </w:pPr>
    </w:lvl>
    <w:lvl w:ilvl="4" w:tplc="6EEE09BC" w:tentative="1">
      <w:start w:val="1"/>
      <w:numFmt w:val="lowerLetter"/>
      <w:lvlText w:val="%5."/>
      <w:lvlJc w:val="left"/>
      <w:pPr>
        <w:ind w:left="3600" w:hanging="360"/>
      </w:pPr>
    </w:lvl>
    <w:lvl w:ilvl="5" w:tplc="EEFE07C8" w:tentative="1">
      <w:start w:val="1"/>
      <w:numFmt w:val="lowerRoman"/>
      <w:lvlText w:val="%6."/>
      <w:lvlJc w:val="right"/>
      <w:pPr>
        <w:ind w:left="4320" w:hanging="180"/>
      </w:pPr>
    </w:lvl>
    <w:lvl w:ilvl="6" w:tplc="F4DC1CF6" w:tentative="1">
      <w:start w:val="1"/>
      <w:numFmt w:val="decimal"/>
      <w:lvlText w:val="%7."/>
      <w:lvlJc w:val="left"/>
      <w:pPr>
        <w:ind w:left="5040" w:hanging="360"/>
      </w:pPr>
    </w:lvl>
    <w:lvl w:ilvl="7" w:tplc="546044F2" w:tentative="1">
      <w:start w:val="1"/>
      <w:numFmt w:val="lowerLetter"/>
      <w:lvlText w:val="%8."/>
      <w:lvlJc w:val="left"/>
      <w:pPr>
        <w:ind w:left="5760" w:hanging="360"/>
      </w:pPr>
    </w:lvl>
    <w:lvl w:ilvl="8" w:tplc="76E8444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Q3tjQxMjAwNTYxNTBW0lEKTi0uzszPAykwrgUAVc0bjiwAAAA="/>
  </w:docVars>
  <w:rsids>
    <w:rsidRoot w:val="00B27145"/>
    <w:rsid w:val="00015AD0"/>
    <w:rsid w:val="00054552"/>
    <w:rsid w:val="000621FB"/>
    <w:rsid w:val="000C4BC2"/>
    <w:rsid w:val="001477B9"/>
    <w:rsid w:val="001A02C6"/>
    <w:rsid w:val="001A6CC5"/>
    <w:rsid w:val="00262123"/>
    <w:rsid w:val="003106A7"/>
    <w:rsid w:val="005E4070"/>
    <w:rsid w:val="00632D7C"/>
    <w:rsid w:val="00694F33"/>
    <w:rsid w:val="007146AB"/>
    <w:rsid w:val="0074480C"/>
    <w:rsid w:val="0077203C"/>
    <w:rsid w:val="00870954"/>
    <w:rsid w:val="008E0BDB"/>
    <w:rsid w:val="008E11C5"/>
    <w:rsid w:val="009249D7"/>
    <w:rsid w:val="009F5553"/>
    <w:rsid w:val="00A52100"/>
    <w:rsid w:val="00A53CF7"/>
    <w:rsid w:val="00A81CD6"/>
    <w:rsid w:val="00AA5848"/>
    <w:rsid w:val="00AF7C6C"/>
    <w:rsid w:val="00B27145"/>
    <w:rsid w:val="00C36040"/>
    <w:rsid w:val="00C95B29"/>
    <w:rsid w:val="00DB1F79"/>
    <w:rsid w:val="00E561C9"/>
    <w:rsid w:val="00F71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FEC46-913A-4D31-8591-EDE636AB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7B9"/>
    <w:pPr>
      <w:contextualSpacing/>
    </w:pPr>
  </w:style>
  <w:style w:type="character" w:styleId="Hyperlink">
    <w:name w:val="Hyperlink"/>
    <w:basedOn w:val="DefaultParagraphFont"/>
    <w:uiPriority w:val="99"/>
    <w:unhideWhenUsed/>
    <w:rsid w:val="001477B9"/>
    <w:rPr>
      <w:color w:val="0563C1" w:themeColor="hyperlink"/>
      <w:u w:val="single"/>
    </w:rPr>
  </w:style>
  <w:style w:type="character" w:styleId="FollowedHyperlink">
    <w:name w:val="FollowedHyperlink"/>
    <w:basedOn w:val="DefaultParagraphFont"/>
    <w:uiPriority w:val="99"/>
    <w:semiHidden/>
    <w:unhideWhenUsed/>
    <w:rsid w:val="001477B9"/>
    <w:rPr>
      <w:color w:val="954F72" w:themeColor="followedHyperlink"/>
      <w:u w:val="single"/>
    </w:rPr>
  </w:style>
  <w:style w:type="paragraph" w:styleId="Header">
    <w:name w:val="header"/>
    <w:basedOn w:val="Normal"/>
    <w:link w:val="HeaderChar"/>
    <w:uiPriority w:val="99"/>
    <w:unhideWhenUsed/>
    <w:rsid w:val="00632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D7C"/>
  </w:style>
  <w:style w:type="paragraph" w:styleId="Footer">
    <w:name w:val="footer"/>
    <w:basedOn w:val="Normal"/>
    <w:link w:val="FooterChar"/>
    <w:uiPriority w:val="99"/>
    <w:unhideWhenUsed/>
    <w:rsid w:val="00632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D7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62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selaw.findlaw.com/us-6th-circuit/1336564.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tlos.org/en/cases/list-of-cases/case-no-1/"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wto.org/english/tratop_e/dispu_e/cases_e/ds8_e.htm" TargetMode="External"/><Relationship Id="rId4" Type="http://schemas.openxmlformats.org/officeDocument/2006/relationships/webSettings" Target="webSettings.xml"/><Relationship Id="rId9" Type="http://schemas.openxmlformats.org/officeDocument/2006/relationships/hyperlink" Target="https://indiankanoon.org/doc/191892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12</Pages>
  <Words>1918</Words>
  <Characters>10935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7</cp:revision>
  <dcterms:created xsi:type="dcterms:W3CDTF">2018-09-18T10:16:00Z</dcterms:created>
  <dcterms:modified xsi:type="dcterms:W3CDTF">2018-09-18T14:07:00Z</dcterms:modified>
</cp:coreProperties>
</file>